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6.0 -->
  <w:body>
    <w:p w:rsidR="001F4AEE" w14:paraId="28BB797C" w14:textId="77777777">
      <w:pPr>
        <w:spacing w:line="30" w:lineRule="exact"/>
        <w:rPr>
          <w:sz w:val="3"/>
        </w:rPr>
      </w:pPr>
    </w:p>
    <w:p w:rsidR="001F4AEE" w14:paraId="3B306024" w14:textId="77777777">
      <w:pPr>
        <w:ind w:right="10300"/>
        <w:rPr>
          <w:rFonts w:ascii="Arial" w:eastAsia="Arial" w:hAnsi="Arial" w:cs="Arial"/>
          <w:sz w:val="18"/>
          <w:lang w:val="fr-FR"/>
        </w:rPr>
      </w:pPr>
      <w:bookmarkStart w:id="0" w:name="COVER_START"/>
      <w:bookmarkEnd w:id="0"/>
    </w:p>
    <w:p w:rsidR="001F4AEE" w14:paraId="49E5139A" w14:textId="77777777">
      <w:pPr>
        <w:spacing w:line="240" w:lineRule="exact"/>
        <w:rPr>
          <w:sz w:val="24"/>
        </w:rPr>
      </w:pPr>
    </w:p>
    <w:p w:rsidR="001F4AEE" w14:paraId="742DE291" w14:textId="77777777">
      <w:pPr>
        <w:spacing w:line="240" w:lineRule="exact"/>
        <w:rPr>
          <w:sz w:val="24"/>
        </w:rPr>
      </w:pPr>
    </w:p>
    <w:p w:rsidR="001F4AEE" w14:paraId="1F59DCE6" w14:textId="77777777">
      <w:pPr>
        <w:spacing w:after="180" w:line="240" w:lineRule="exact"/>
        <w:rPr>
          <w:sz w:val="24"/>
        </w:rPr>
      </w:pPr>
    </w:p>
    <w:tbl>
      <w:tblPr>
        <w:tblW w:w="0" w:type="auto"/>
        <w:tblInd w:w="880" w:type="dxa"/>
        <w:tblLayout w:type="fixed"/>
        <w:tblLook w:val="04A0"/>
      </w:tblPr>
      <w:tblGrid>
        <w:gridCol w:w="120"/>
        <w:gridCol w:w="920"/>
        <w:gridCol w:w="5640"/>
        <w:gridCol w:w="2360"/>
        <w:gridCol w:w="240"/>
        <w:gridCol w:w="1260"/>
        <w:gridCol w:w="440"/>
        <w:gridCol w:w="32"/>
      </w:tblGrid>
      <w:tr w14:paraId="7436DA17" w14:textId="77777777">
        <w:tblPrEx>
          <w:tblW w:w="0" w:type="auto"/>
          <w:tblInd w:w="880" w:type="dxa"/>
          <w:tblLayout w:type="fixed"/>
          <w:tblLook w:val="04A0"/>
        </w:tblPrEx>
        <w:trPr>
          <w:gridAfter w:val="1"/>
          <w:wAfter w:w="32" w:type="dxa"/>
          <w:trHeight w:val="685"/>
        </w:trPr>
        <w:tc>
          <w:tcPr>
            <w:tcW w:w="120" w:type="dxa"/>
            <w:tcMar>
              <w:top w:w="0" w:type="dxa"/>
              <w:left w:w="0" w:type="dxa"/>
              <w:bottom w:w="0" w:type="dxa"/>
              <w:right w:w="0" w:type="dxa"/>
            </w:tcMar>
          </w:tcPr>
          <w:p w:rsidR="001F4AEE" w14:paraId="557C1FB9" w14:textId="77777777"/>
        </w:tc>
        <w:tc>
          <w:tcPr>
            <w:tcW w:w="920" w:type="dxa"/>
            <w:tcMar>
              <w:top w:w="0" w:type="dxa"/>
              <w:left w:w="0" w:type="dxa"/>
              <w:bottom w:w="0" w:type="dxa"/>
              <w:right w:w="0" w:type="dxa"/>
            </w:tcMar>
          </w:tcPr>
          <w:p w:rsidR="001F4AEE" w14:paraId="15D9D094" w14:textId="77777777"/>
        </w:tc>
        <w:tc>
          <w:tcPr>
            <w:tcW w:w="5640" w:type="dxa"/>
            <w:tcMar>
              <w:top w:w="0" w:type="dxa"/>
              <w:left w:w="0" w:type="dxa"/>
              <w:bottom w:w="0" w:type="dxa"/>
              <w:right w:w="0" w:type="dxa"/>
            </w:tcMar>
          </w:tcPr>
          <w:p w:rsidR="001F4AEE" w14:paraId="60238578" w14:textId="77777777"/>
        </w:tc>
        <w:tc>
          <w:tcPr>
            <w:tcW w:w="2600" w:type="dxa"/>
            <w:gridSpan w:val="2"/>
            <w:vMerge w:val="restart"/>
            <w:tcMar>
              <w:top w:w="0" w:type="dxa"/>
              <w:left w:w="0" w:type="dxa"/>
              <w:bottom w:w="0" w:type="dxa"/>
              <w:right w:w="0" w:type="dxa"/>
            </w:tcMar>
          </w:tcPr>
          <w:p w:rsidR="001F4AEE" w14:paraId="4DC44647" w14:textId="77777777">
            <w:r>
              <w:rPr>
                <w:noProof/>
              </w:rPr>
              <w:drawing>
                <wp:inline distT="0" distB="0" distL="0" distR="0">
                  <wp:extent cx="1625600" cy="75974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5600" cy="759745"/>
                          </a:xfrm>
                          <a:prstGeom prst="rect">
                            <a:avLst/>
                          </a:prstGeom>
                          <a:noFill/>
                          <a:ln>
                            <a:noFill/>
                          </a:ln>
                        </pic:spPr>
                      </pic:pic>
                    </a:graphicData>
                  </a:graphic>
                </wp:inline>
              </w:drawing>
            </w:r>
          </w:p>
        </w:tc>
        <w:tc>
          <w:tcPr>
            <w:tcW w:w="1260" w:type="dxa"/>
            <w:tcMar>
              <w:top w:w="0" w:type="dxa"/>
              <w:left w:w="0" w:type="dxa"/>
              <w:bottom w:w="0" w:type="dxa"/>
              <w:right w:w="0" w:type="dxa"/>
            </w:tcMar>
          </w:tcPr>
          <w:p w:rsidR="001F4AEE" w14:paraId="7DC8EB07" w14:textId="77777777"/>
        </w:tc>
        <w:tc>
          <w:tcPr>
            <w:tcW w:w="440" w:type="dxa"/>
            <w:tcMar>
              <w:top w:w="0" w:type="dxa"/>
              <w:left w:w="0" w:type="dxa"/>
              <w:bottom w:w="0" w:type="dxa"/>
              <w:right w:w="0" w:type="dxa"/>
            </w:tcMar>
          </w:tcPr>
          <w:p w:rsidR="001F4AEE" w14:paraId="1FED788F" w14:textId="77777777"/>
        </w:tc>
      </w:tr>
      <w:tr w14:paraId="483B0C38" w14:textId="77777777">
        <w:tblPrEx>
          <w:tblW w:w="0" w:type="auto"/>
          <w:tblInd w:w="880" w:type="dxa"/>
          <w:tblLayout w:type="fixed"/>
          <w:tblLook w:val="04A0"/>
        </w:tblPrEx>
        <w:trPr>
          <w:gridAfter w:val="1"/>
          <w:wAfter w:w="32" w:type="dxa"/>
          <w:trHeight w:val="105"/>
        </w:trPr>
        <w:tc>
          <w:tcPr>
            <w:tcW w:w="6680" w:type="dxa"/>
            <w:gridSpan w:val="3"/>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7759A3E1" w14:textId="77777777"/>
        </w:tc>
        <w:tc>
          <w:tcPr>
            <w:tcW w:w="2600" w:type="dxa"/>
            <w:gridSpan w:val="2"/>
            <w:vMerge/>
            <w:tcMar>
              <w:top w:w="0" w:type="dxa"/>
              <w:left w:w="0" w:type="dxa"/>
              <w:bottom w:w="0" w:type="dxa"/>
              <w:right w:w="0" w:type="dxa"/>
            </w:tcMar>
          </w:tcPr>
          <w:p w:rsidR="001F4AEE" w14:paraId="44F0F4EF" w14:textId="77777777"/>
        </w:tc>
        <w:tc>
          <w:tcPr>
            <w:tcW w:w="1700" w:type="dxa"/>
            <w:gridSpan w:val="2"/>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6AF15AF3" w14:textId="77777777"/>
        </w:tc>
      </w:tr>
      <w:tr w14:paraId="4AF3647E" w14:textId="77777777">
        <w:tblPrEx>
          <w:tblW w:w="0" w:type="auto"/>
          <w:tblInd w:w="880" w:type="dxa"/>
          <w:tblLayout w:type="fixed"/>
          <w:tblLook w:val="04A0"/>
        </w:tblPrEx>
        <w:trPr>
          <w:gridAfter w:val="1"/>
          <w:wAfter w:w="32" w:type="dxa"/>
          <w:trHeight w:val="365"/>
        </w:trPr>
        <w:tc>
          <w:tcPr>
            <w:tcW w:w="120" w:type="dxa"/>
            <w:vMerge w:val="restart"/>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1C50A892" w14:textId="77777777"/>
        </w:tc>
        <w:tc>
          <w:tcPr>
            <w:tcW w:w="920" w:type="dxa"/>
            <w:tcMar>
              <w:top w:w="0" w:type="dxa"/>
              <w:left w:w="0" w:type="dxa"/>
              <w:bottom w:w="0" w:type="dxa"/>
              <w:right w:w="0" w:type="dxa"/>
            </w:tcMar>
          </w:tcPr>
          <w:p w:rsidR="001F4AEE" w14:paraId="5D5FB5EA" w14:textId="77777777"/>
        </w:tc>
        <w:tc>
          <w:tcPr>
            <w:tcW w:w="5640" w:type="dxa"/>
            <w:tcMar>
              <w:top w:w="0" w:type="dxa"/>
              <w:left w:w="0" w:type="dxa"/>
              <w:bottom w:w="0" w:type="dxa"/>
              <w:right w:w="0" w:type="dxa"/>
            </w:tcMar>
          </w:tcPr>
          <w:p w:rsidR="001F4AEE" w14:paraId="3BD2B9C9" w14:textId="77777777"/>
        </w:tc>
        <w:tc>
          <w:tcPr>
            <w:tcW w:w="2600" w:type="dxa"/>
            <w:gridSpan w:val="2"/>
            <w:vMerge/>
            <w:tcMar>
              <w:top w:w="0" w:type="dxa"/>
              <w:left w:w="0" w:type="dxa"/>
              <w:bottom w:w="0" w:type="dxa"/>
              <w:right w:w="0" w:type="dxa"/>
            </w:tcMar>
          </w:tcPr>
          <w:p w:rsidR="001F4AEE" w14:paraId="1E2E1D74" w14:textId="77777777"/>
        </w:tc>
        <w:tc>
          <w:tcPr>
            <w:tcW w:w="1260" w:type="dxa"/>
            <w:tcMar>
              <w:top w:w="0" w:type="dxa"/>
              <w:left w:w="0" w:type="dxa"/>
              <w:bottom w:w="0" w:type="dxa"/>
              <w:right w:w="0" w:type="dxa"/>
            </w:tcMar>
          </w:tcPr>
          <w:p w:rsidR="001F4AEE" w14:paraId="6A2C9EEA" w14:textId="77777777"/>
        </w:tc>
        <w:tc>
          <w:tcPr>
            <w:tcW w:w="440" w:type="dxa"/>
            <w:tcMar>
              <w:top w:w="0" w:type="dxa"/>
              <w:left w:w="0" w:type="dxa"/>
              <w:bottom w:w="0" w:type="dxa"/>
              <w:right w:w="0" w:type="dxa"/>
            </w:tcMar>
          </w:tcPr>
          <w:p w:rsidR="001F4AEE" w14:paraId="4CD9648D" w14:textId="77777777"/>
        </w:tc>
      </w:tr>
      <w:tr w14:paraId="4F1C9AFA" w14:textId="77777777">
        <w:tblPrEx>
          <w:tblW w:w="0" w:type="auto"/>
          <w:tblInd w:w="880" w:type="dxa"/>
          <w:tblLayout w:type="fixed"/>
          <w:tblLook w:val="04A0"/>
        </w:tblPrEx>
        <w:trPr>
          <w:gridAfter w:val="1"/>
          <w:wAfter w:w="32" w:type="dxa"/>
          <w:trHeight w:val="36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7663057F" w14:textId="77777777"/>
        </w:tc>
        <w:tc>
          <w:tcPr>
            <w:tcW w:w="920" w:type="dxa"/>
            <w:tcMar>
              <w:top w:w="0" w:type="dxa"/>
              <w:left w:w="0" w:type="dxa"/>
              <w:bottom w:w="0" w:type="dxa"/>
              <w:right w:w="0" w:type="dxa"/>
            </w:tcMar>
          </w:tcPr>
          <w:p w:rsidR="001F4AEE" w14:paraId="4FD6BD2A" w14:textId="77777777"/>
        </w:tc>
        <w:tc>
          <w:tcPr>
            <w:tcW w:w="5640" w:type="dxa"/>
            <w:tcMar>
              <w:top w:w="0" w:type="dxa"/>
              <w:left w:w="0" w:type="dxa"/>
              <w:bottom w:w="0" w:type="dxa"/>
              <w:right w:w="0" w:type="dxa"/>
            </w:tcMar>
          </w:tcPr>
          <w:p w:rsidR="001F4AEE" w14:paraId="7C23E0FA" w14:textId="77777777"/>
        </w:tc>
        <w:tc>
          <w:tcPr>
            <w:tcW w:w="2360" w:type="dxa"/>
            <w:tcMar>
              <w:top w:w="0" w:type="dxa"/>
              <w:left w:w="0" w:type="dxa"/>
              <w:bottom w:w="0" w:type="dxa"/>
              <w:right w:w="0" w:type="dxa"/>
            </w:tcMar>
          </w:tcPr>
          <w:p w:rsidR="001F4AEE" w14:paraId="077AC62B" w14:textId="77777777"/>
        </w:tc>
        <w:tc>
          <w:tcPr>
            <w:tcW w:w="240" w:type="dxa"/>
            <w:tcMar>
              <w:top w:w="0" w:type="dxa"/>
              <w:left w:w="0" w:type="dxa"/>
              <w:bottom w:w="0" w:type="dxa"/>
              <w:right w:w="0" w:type="dxa"/>
            </w:tcMar>
          </w:tcPr>
          <w:p w:rsidR="001F4AEE" w14:paraId="0C11101A" w14:textId="77777777"/>
        </w:tc>
        <w:tc>
          <w:tcPr>
            <w:tcW w:w="1260" w:type="dxa"/>
            <w:tcMar>
              <w:top w:w="0" w:type="dxa"/>
              <w:left w:w="0" w:type="dxa"/>
              <w:bottom w:w="0" w:type="dxa"/>
              <w:right w:w="0" w:type="dxa"/>
            </w:tcMar>
          </w:tcPr>
          <w:p w:rsidR="001F4AEE" w14:paraId="05A37CEE" w14:textId="77777777"/>
        </w:tc>
        <w:tc>
          <w:tcPr>
            <w:tcW w:w="440" w:type="dxa"/>
            <w:tcMar>
              <w:top w:w="0" w:type="dxa"/>
              <w:left w:w="0" w:type="dxa"/>
              <w:bottom w:w="0" w:type="dxa"/>
              <w:right w:w="0" w:type="dxa"/>
            </w:tcMar>
          </w:tcPr>
          <w:p w:rsidR="001F4AEE" w14:paraId="6BFC74E0" w14:textId="77777777"/>
        </w:tc>
      </w:tr>
      <w:tr w14:paraId="4911F73C" w14:textId="77777777">
        <w:tblPrEx>
          <w:tblW w:w="0" w:type="auto"/>
          <w:tblInd w:w="880" w:type="dxa"/>
          <w:tblLayout w:type="fixed"/>
          <w:tblLook w:val="04A0"/>
        </w:tblPrEx>
        <w:trPr>
          <w:gridAfter w:val="1"/>
          <w:wAfter w:w="32" w:type="dxa"/>
          <w:trHeight w:val="140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17724E5A" w14:textId="77777777"/>
        </w:tc>
        <w:tc>
          <w:tcPr>
            <w:tcW w:w="920" w:type="dxa"/>
            <w:tcMar>
              <w:top w:w="0" w:type="dxa"/>
              <w:left w:w="0" w:type="dxa"/>
              <w:bottom w:w="0" w:type="dxa"/>
              <w:right w:w="0" w:type="dxa"/>
            </w:tcMar>
          </w:tcPr>
          <w:p w:rsidR="001F4AEE" w14:paraId="17348AE5" w14:textId="77777777"/>
        </w:tc>
        <w:tc>
          <w:tcPr>
            <w:tcW w:w="9500" w:type="dxa"/>
            <w:gridSpan w:val="4"/>
            <w:tcMar>
              <w:top w:w="0" w:type="dxa"/>
              <w:left w:w="0" w:type="dxa"/>
              <w:bottom w:w="0" w:type="dxa"/>
              <w:right w:w="0" w:type="dxa"/>
            </w:tcMar>
            <w:vAlign w:val="bottom"/>
          </w:tcPr>
          <w:p w:rsidR="001F4AEE" w:rsidRPr="00D61EB0" w14:paraId="55C12F82" w14:textId="77777777">
            <w:pPr>
              <w:pStyle w:val="CoverTitle"/>
              <w:spacing w:line="598" w:lineRule="exact"/>
              <w:rPr>
                <w:lang w:val="en-US"/>
              </w:rPr>
            </w:pPr>
            <w:r w:rsidRPr="00D61EB0">
              <w:rPr>
                <w:lang w:val="en-US"/>
              </w:rPr>
              <w:t xml:space="preserve">AMUNDI MSCI WORLD CLIMATE PARIS ALIGNED PAB </w:t>
            </w:r>
          </w:p>
        </w:tc>
        <w:tc>
          <w:tcPr>
            <w:tcW w:w="440" w:type="dxa"/>
            <w:tcMar>
              <w:top w:w="0" w:type="dxa"/>
              <w:left w:w="0" w:type="dxa"/>
              <w:bottom w:w="0" w:type="dxa"/>
              <w:right w:w="0" w:type="dxa"/>
            </w:tcMar>
          </w:tcPr>
          <w:p w:rsidR="001F4AEE" w14:paraId="6F487088" w14:textId="77777777"/>
        </w:tc>
      </w:tr>
      <w:tr w14:paraId="5611AABA" w14:textId="77777777">
        <w:tblPrEx>
          <w:tblW w:w="0" w:type="auto"/>
          <w:tblInd w:w="880" w:type="dxa"/>
          <w:tblLayout w:type="fixed"/>
          <w:tblLook w:val="04A0"/>
        </w:tblPrEx>
        <w:trPr>
          <w:gridAfter w:val="1"/>
          <w:wAfter w:w="32" w:type="dxa"/>
          <w:trHeight w:val="11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51468CF1" w14:textId="77777777"/>
        </w:tc>
        <w:tc>
          <w:tcPr>
            <w:tcW w:w="920" w:type="dxa"/>
            <w:tcMar>
              <w:top w:w="0" w:type="dxa"/>
              <w:left w:w="0" w:type="dxa"/>
              <w:bottom w:w="0" w:type="dxa"/>
              <w:right w:w="0" w:type="dxa"/>
            </w:tcMar>
          </w:tcPr>
          <w:p w:rsidR="001F4AEE" w14:paraId="1A99D2B8" w14:textId="77777777"/>
        </w:tc>
        <w:tc>
          <w:tcPr>
            <w:tcW w:w="9500" w:type="dxa"/>
            <w:gridSpan w:val="4"/>
            <w:tcMar>
              <w:top w:w="0" w:type="dxa"/>
              <w:left w:w="0" w:type="dxa"/>
              <w:bottom w:w="0" w:type="dxa"/>
              <w:right w:w="0" w:type="dxa"/>
            </w:tcMar>
            <w:vAlign w:val="center"/>
          </w:tcPr>
          <w:p w:rsidR="001F4AEE" w14:paraId="1A35962B" w14:textId="77777777">
            <w:pPr>
              <w:pStyle w:val="CoverPropertyName"/>
              <w:rPr>
                <w:lang w:val="fr-FR"/>
              </w:rPr>
            </w:pPr>
            <w:r>
              <w:rPr>
                <w:lang w:val="fr-FR"/>
              </w:rPr>
              <w:t>OPCVM de droit français</w:t>
            </w:r>
          </w:p>
        </w:tc>
        <w:tc>
          <w:tcPr>
            <w:tcW w:w="440" w:type="dxa"/>
            <w:tcMar>
              <w:top w:w="0" w:type="dxa"/>
              <w:left w:w="0" w:type="dxa"/>
              <w:bottom w:w="0" w:type="dxa"/>
              <w:right w:w="0" w:type="dxa"/>
            </w:tcMar>
          </w:tcPr>
          <w:p w:rsidR="001F4AEE" w14:paraId="14CEA160" w14:textId="77777777"/>
        </w:tc>
      </w:tr>
      <w:tr w14:paraId="1FEE4BF9" w14:textId="77777777">
        <w:tblPrEx>
          <w:tblW w:w="0" w:type="auto"/>
          <w:tblInd w:w="880" w:type="dxa"/>
          <w:tblLayout w:type="fixed"/>
          <w:tblLook w:val="04A0"/>
        </w:tblPrEx>
        <w:trPr>
          <w:gridAfter w:val="1"/>
          <w:wAfter w:w="32" w:type="dxa"/>
          <w:trHeight w:val="110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7ECF8D04" w14:textId="77777777"/>
        </w:tc>
        <w:tc>
          <w:tcPr>
            <w:tcW w:w="920" w:type="dxa"/>
            <w:tcMar>
              <w:top w:w="0" w:type="dxa"/>
              <w:left w:w="0" w:type="dxa"/>
              <w:bottom w:w="0" w:type="dxa"/>
              <w:right w:w="0" w:type="dxa"/>
            </w:tcMar>
          </w:tcPr>
          <w:p w:rsidR="001F4AEE" w14:paraId="7B61BE6C" w14:textId="77777777"/>
        </w:tc>
        <w:tc>
          <w:tcPr>
            <w:tcW w:w="9500" w:type="dxa"/>
            <w:gridSpan w:val="4"/>
            <w:tcMar>
              <w:top w:w="0" w:type="dxa"/>
              <w:left w:w="0" w:type="dxa"/>
              <w:bottom w:w="0" w:type="dxa"/>
              <w:right w:w="0" w:type="dxa"/>
            </w:tcMar>
            <w:vAlign w:val="bottom"/>
          </w:tcPr>
          <w:p w:rsidR="001F4AEE" w14:paraId="6FD32BB2" w14:textId="77777777">
            <w:pPr>
              <w:pStyle w:val="CoverReportType"/>
              <w:rPr>
                <w:lang w:val="fr-FR"/>
              </w:rPr>
            </w:pPr>
            <w:r>
              <w:rPr>
                <w:lang w:val="fr-FR"/>
              </w:rPr>
              <w:t>INFORMATIONS SEMESTRIELLES - JUIN 2025</w:t>
            </w:r>
          </w:p>
        </w:tc>
        <w:tc>
          <w:tcPr>
            <w:tcW w:w="440" w:type="dxa"/>
            <w:tcMar>
              <w:top w:w="0" w:type="dxa"/>
              <w:left w:w="0" w:type="dxa"/>
              <w:bottom w:w="0" w:type="dxa"/>
              <w:right w:w="0" w:type="dxa"/>
            </w:tcMar>
          </w:tcPr>
          <w:p w:rsidR="001F4AEE" w14:paraId="13402C40" w14:textId="77777777"/>
        </w:tc>
      </w:tr>
      <w:tr w14:paraId="54A310BF" w14:textId="77777777">
        <w:tblPrEx>
          <w:tblW w:w="0" w:type="auto"/>
          <w:tblInd w:w="880" w:type="dxa"/>
          <w:tblLayout w:type="fixed"/>
          <w:tblLook w:val="04A0"/>
        </w:tblPrEx>
        <w:trPr>
          <w:gridAfter w:val="1"/>
          <w:wAfter w:w="32" w:type="dxa"/>
          <w:trHeight w:val="144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13E55631" w14:textId="77777777"/>
        </w:tc>
        <w:tc>
          <w:tcPr>
            <w:tcW w:w="920" w:type="dxa"/>
            <w:tcMar>
              <w:top w:w="0" w:type="dxa"/>
              <w:left w:w="0" w:type="dxa"/>
              <w:bottom w:w="0" w:type="dxa"/>
              <w:right w:w="0" w:type="dxa"/>
            </w:tcMar>
          </w:tcPr>
          <w:p w:rsidR="001F4AEE" w14:paraId="60285B42" w14:textId="77777777"/>
        </w:tc>
        <w:tc>
          <w:tcPr>
            <w:tcW w:w="5640" w:type="dxa"/>
            <w:tcMar>
              <w:top w:w="0" w:type="dxa"/>
              <w:left w:w="0" w:type="dxa"/>
              <w:bottom w:w="0" w:type="dxa"/>
              <w:right w:w="0" w:type="dxa"/>
            </w:tcMar>
          </w:tcPr>
          <w:p w:rsidR="001F4AEE" w14:paraId="0741DB6E" w14:textId="77777777"/>
        </w:tc>
        <w:tc>
          <w:tcPr>
            <w:tcW w:w="2360" w:type="dxa"/>
            <w:tcMar>
              <w:top w:w="0" w:type="dxa"/>
              <w:left w:w="0" w:type="dxa"/>
              <w:bottom w:w="0" w:type="dxa"/>
              <w:right w:w="0" w:type="dxa"/>
            </w:tcMar>
          </w:tcPr>
          <w:p w:rsidR="001F4AEE" w14:paraId="048BC662" w14:textId="77777777"/>
        </w:tc>
        <w:tc>
          <w:tcPr>
            <w:tcW w:w="240" w:type="dxa"/>
            <w:tcMar>
              <w:top w:w="0" w:type="dxa"/>
              <w:left w:w="0" w:type="dxa"/>
              <w:bottom w:w="0" w:type="dxa"/>
              <w:right w:w="0" w:type="dxa"/>
            </w:tcMar>
          </w:tcPr>
          <w:p w:rsidR="001F4AEE" w14:paraId="014652A8" w14:textId="77777777"/>
        </w:tc>
        <w:tc>
          <w:tcPr>
            <w:tcW w:w="1260" w:type="dxa"/>
            <w:tcMar>
              <w:top w:w="0" w:type="dxa"/>
              <w:left w:w="0" w:type="dxa"/>
              <w:bottom w:w="0" w:type="dxa"/>
              <w:right w:w="0" w:type="dxa"/>
            </w:tcMar>
          </w:tcPr>
          <w:p w:rsidR="001F4AEE" w14:paraId="01DD9B3A" w14:textId="77777777"/>
        </w:tc>
        <w:tc>
          <w:tcPr>
            <w:tcW w:w="440" w:type="dxa"/>
            <w:tcMar>
              <w:top w:w="0" w:type="dxa"/>
              <w:left w:w="0" w:type="dxa"/>
              <w:bottom w:w="0" w:type="dxa"/>
              <w:right w:w="0" w:type="dxa"/>
            </w:tcMar>
          </w:tcPr>
          <w:p w:rsidR="001F4AEE" w14:paraId="2D98A949" w14:textId="77777777"/>
        </w:tc>
      </w:tr>
      <w:tr w14:paraId="14BDB6E7"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0EC65BEC" w14:textId="77777777"/>
        </w:tc>
        <w:tc>
          <w:tcPr>
            <w:tcW w:w="920" w:type="dxa"/>
            <w:tcMar>
              <w:top w:w="0" w:type="dxa"/>
              <w:left w:w="0" w:type="dxa"/>
              <w:bottom w:w="0" w:type="dxa"/>
              <w:right w:w="0" w:type="dxa"/>
            </w:tcMar>
          </w:tcPr>
          <w:p w:rsidR="001F4AEE" w14:paraId="6AC13783" w14:textId="77777777"/>
        </w:tc>
        <w:tc>
          <w:tcPr>
            <w:tcW w:w="8000" w:type="dxa"/>
            <w:gridSpan w:val="2"/>
            <w:tcMar>
              <w:top w:w="0" w:type="dxa"/>
              <w:left w:w="0" w:type="dxa"/>
              <w:bottom w:w="0" w:type="dxa"/>
              <w:right w:w="0" w:type="dxa"/>
            </w:tcMar>
            <w:vAlign w:val="center"/>
          </w:tcPr>
          <w:p w:rsidR="001F4AEE" w14:paraId="117B8112" w14:textId="77777777">
            <w:pPr>
              <w:pStyle w:val="CoverPropertyNameCover"/>
              <w:rPr>
                <w:lang w:val="fr-FR"/>
              </w:rPr>
            </w:pPr>
            <w:r>
              <w:rPr>
                <w:lang w:val="fr-FR"/>
              </w:rPr>
              <w:t>Société de Gestion</w:t>
            </w:r>
          </w:p>
        </w:tc>
        <w:tc>
          <w:tcPr>
            <w:tcW w:w="240" w:type="dxa"/>
            <w:tcMar>
              <w:top w:w="0" w:type="dxa"/>
              <w:left w:w="0" w:type="dxa"/>
              <w:bottom w:w="0" w:type="dxa"/>
              <w:right w:w="0" w:type="dxa"/>
            </w:tcMar>
          </w:tcPr>
          <w:p w:rsidR="001F4AEE" w14:paraId="4A135945" w14:textId="77777777"/>
        </w:tc>
        <w:tc>
          <w:tcPr>
            <w:tcW w:w="1260" w:type="dxa"/>
            <w:tcMar>
              <w:top w:w="0" w:type="dxa"/>
              <w:left w:w="0" w:type="dxa"/>
              <w:bottom w:w="0" w:type="dxa"/>
              <w:right w:w="0" w:type="dxa"/>
            </w:tcMar>
          </w:tcPr>
          <w:p w:rsidR="001F4AEE" w14:paraId="63547BB7" w14:textId="77777777"/>
        </w:tc>
        <w:tc>
          <w:tcPr>
            <w:tcW w:w="440" w:type="dxa"/>
            <w:tcMar>
              <w:top w:w="0" w:type="dxa"/>
              <w:left w:w="0" w:type="dxa"/>
              <w:bottom w:w="0" w:type="dxa"/>
              <w:right w:w="0" w:type="dxa"/>
            </w:tcMar>
          </w:tcPr>
          <w:p w:rsidR="001F4AEE" w14:paraId="3B1AF88B" w14:textId="77777777"/>
        </w:tc>
      </w:tr>
      <w:tr w14:paraId="2818D64E"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4D1E7D8E" w14:textId="77777777"/>
        </w:tc>
        <w:tc>
          <w:tcPr>
            <w:tcW w:w="920" w:type="dxa"/>
            <w:tcMar>
              <w:top w:w="0" w:type="dxa"/>
              <w:left w:w="0" w:type="dxa"/>
              <w:bottom w:w="0" w:type="dxa"/>
              <w:right w:w="0" w:type="dxa"/>
            </w:tcMar>
          </w:tcPr>
          <w:p w:rsidR="001F4AEE" w14:paraId="25C38EEC" w14:textId="77777777"/>
        </w:tc>
        <w:tc>
          <w:tcPr>
            <w:tcW w:w="8000" w:type="dxa"/>
            <w:gridSpan w:val="2"/>
            <w:tcMar>
              <w:top w:w="0" w:type="dxa"/>
              <w:left w:w="0" w:type="dxa"/>
              <w:bottom w:w="0" w:type="dxa"/>
              <w:right w:w="0" w:type="dxa"/>
            </w:tcMar>
            <w:vAlign w:val="center"/>
          </w:tcPr>
          <w:p w:rsidR="001F4AEE" w14:paraId="5A4EC182" w14:textId="77777777">
            <w:pPr>
              <w:pStyle w:val="CoverPropertyValue"/>
              <w:rPr>
                <w:b/>
                <w:lang w:val="fr-FR"/>
              </w:rPr>
            </w:pPr>
            <w:r>
              <w:rPr>
                <w:b/>
                <w:lang w:val="fr-FR"/>
              </w:rPr>
              <w:t>Amundi Asset Management</w:t>
            </w:r>
          </w:p>
        </w:tc>
        <w:tc>
          <w:tcPr>
            <w:tcW w:w="240" w:type="dxa"/>
            <w:tcMar>
              <w:top w:w="0" w:type="dxa"/>
              <w:left w:w="0" w:type="dxa"/>
              <w:bottom w:w="0" w:type="dxa"/>
              <w:right w:w="0" w:type="dxa"/>
            </w:tcMar>
          </w:tcPr>
          <w:p w:rsidR="001F4AEE" w14:paraId="1A6286E6" w14:textId="77777777"/>
        </w:tc>
        <w:tc>
          <w:tcPr>
            <w:tcW w:w="1260" w:type="dxa"/>
            <w:tcMar>
              <w:top w:w="0" w:type="dxa"/>
              <w:left w:w="0" w:type="dxa"/>
              <w:bottom w:w="0" w:type="dxa"/>
              <w:right w:w="0" w:type="dxa"/>
            </w:tcMar>
          </w:tcPr>
          <w:p w:rsidR="001F4AEE" w14:paraId="50DDE3E5" w14:textId="77777777"/>
        </w:tc>
        <w:tc>
          <w:tcPr>
            <w:tcW w:w="440" w:type="dxa"/>
            <w:tcMar>
              <w:top w:w="0" w:type="dxa"/>
              <w:left w:w="0" w:type="dxa"/>
              <w:bottom w:w="0" w:type="dxa"/>
              <w:right w:w="0" w:type="dxa"/>
            </w:tcMar>
          </w:tcPr>
          <w:p w:rsidR="001F4AEE" w14:paraId="6B7CA6D3" w14:textId="77777777"/>
        </w:tc>
      </w:tr>
      <w:tr w14:paraId="0A4E5ED4"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5BE2264E" w14:textId="77777777"/>
        </w:tc>
        <w:tc>
          <w:tcPr>
            <w:tcW w:w="920" w:type="dxa"/>
            <w:tcMar>
              <w:top w:w="0" w:type="dxa"/>
              <w:left w:w="0" w:type="dxa"/>
              <w:bottom w:w="0" w:type="dxa"/>
              <w:right w:w="0" w:type="dxa"/>
            </w:tcMar>
          </w:tcPr>
          <w:p w:rsidR="001F4AEE" w14:paraId="0DE4727A" w14:textId="77777777"/>
        </w:tc>
        <w:tc>
          <w:tcPr>
            <w:tcW w:w="8000" w:type="dxa"/>
            <w:gridSpan w:val="2"/>
            <w:tcMar>
              <w:top w:w="0" w:type="dxa"/>
              <w:left w:w="0" w:type="dxa"/>
              <w:bottom w:w="0" w:type="dxa"/>
              <w:right w:w="0" w:type="dxa"/>
            </w:tcMar>
          </w:tcPr>
          <w:p w:rsidR="001F4AEE" w14:paraId="10087AA1" w14:textId="77777777">
            <w:pPr>
              <w:pStyle w:val="NormalNoContent"/>
              <w:rPr>
                <w:rFonts w:ascii="Arial" w:eastAsia="Arial" w:hAnsi="Arial" w:cs="Arial"/>
                <w:sz w:val="18"/>
                <w:lang w:val="fr-FR"/>
              </w:rPr>
            </w:pPr>
          </w:p>
        </w:tc>
        <w:tc>
          <w:tcPr>
            <w:tcW w:w="240" w:type="dxa"/>
            <w:tcMar>
              <w:top w:w="0" w:type="dxa"/>
              <w:left w:w="0" w:type="dxa"/>
              <w:bottom w:w="0" w:type="dxa"/>
              <w:right w:w="0" w:type="dxa"/>
            </w:tcMar>
          </w:tcPr>
          <w:p w:rsidR="001F4AEE" w14:paraId="305530D4" w14:textId="77777777"/>
        </w:tc>
        <w:tc>
          <w:tcPr>
            <w:tcW w:w="1260" w:type="dxa"/>
            <w:tcMar>
              <w:top w:w="0" w:type="dxa"/>
              <w:left w:w="0" w:type="dxa"/>
              <w:bottom w:w="0" w:type="dxa"/>
              <w:right w:w="0" w:type="dxa"/>
            </w:tcMar>
          </w:tcPr>
          <w:p w:rsidR="001F4AEE" w14:paraId="4F3F13A6" w14:textId="77777777"/>
        </w:tc>
        <w:tc>
          <w:tcPr>
            <w:tcW w:w="440" w:type="dxa"/>
            <w:tcMar>
              <w:top w:w="0" w:type="dxa"/>
              <w:left w:w="0" w:type="dxa"/>
              <w:bottom w:w="0" w:type="dxa"/>
              <w:right w:w="0" w:type="dxa"/>
            </w:tcMar>
          </w:tcPr>
          <w:p w:rsidR="001F4AEE" w14:paraId="41E1B0F4" w14:textId="77777777"/>
        </w:tc>
      </w:tr>
      <w:tr w14:paraId="58F79368"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7B98AADA" w14:textId="77777777"/>
        </w:tc>
        <w:tc>
          <w:tcPr>
            <w:tcW w:w="920" w:type="dxa"/>
            <w:tcMar>
              <w:top w:w="0" w:type="dxa"/>
              <w:left w:w="0" w:type="dxa"/>
              <w:bottom w:w="0" w:type="dxa"/>
              <w:right w:w="0" w:type="dxa"/>
            </w:tcMar>
          </w:tcPr>
          <w:p w:rsidR="001F4AEE" w14:paraId="2ADF641C" w14:textId="77777777"/>
        </w:tc>
        <w:tc>
          <w:tcPr>
            <w:tcW w:w="8000" w:type="dxa"/>
            <w:gridSpan w:val="2"/>
            <w:tcMar>
              <w:top w:w="0" w:type="dxa"/>
              <w:left w:w="0" w:type="dxa"/>
              <w:bottom w:w="0" w:type="dxa"/>
              <w:right w:w="0" w:type="dxa"/>
            </w:tcMar>
            <w:vAlign w:val="center"/>
          </w:tcPr>
          <w:p w:rsidR="001F4AEE" w14:paraId="571043D6" w14:textId="77777777">
            <w:pPr>
              <w:pStyle w:val="CoverPropertyNameCover"/>
              <w:rPr>
                <w:lang w:val="fr-FR"/>
              </w:rPr>
            </w:pPr>
            <w:r>
              <w:rPr>
                <w:lang w:val="fr-FR"/>
              </w:rPr>
              <w:t>Sous délégataire de gestion comptable en titre</w:t>
            </w:r>
          </w:p>
        </w:tc>
        <w:tc>
          <w:tcPr>
            <w:tcW w:w="240" w:type="dxa"/>
            <w:tcMar>
              <w:top w:w="0" w:type="dxa"/>
              <w:left w:w="0" w:type="dxa"/>
              <w:bottom w:w="0" w:type="dxa"/>
              <w:right w:w="0" w:type="dxa"/>
            </w:tcMar>
          </w:tcPr>
          <w:p w:rsidR="001F4AEE" w:rsidRPr="00D61EB0" w14:paraId="26075564" w14:textId="77777777">
            <w:pPr>
              <w:rPr>
                <w:lang w:val="fr-FR"/>
              </w:rPr>
            </w:pPr>
          </w:p>
        </w:tc>
        <w:tc>
          <w:tcPr>
            <w:tcW w:w="1260" w:type="dxa"/>
            <w:tcMar>
              <w:top w:w="0" w:type="dxa"/>
              <w:left w:w="0" w:type="dxa"/>
              <w:bottom w:w="0" w:type="dxa"/>
              <w:right w:w="0" w:type="dxa"/>
            </w:tcMar>
          </w:tcPr>
          <w:p w:rsidR="001F4AEE" w:rsidRPr="00D61EB0" w14:paraId="02639F58" w14:textId="77777777">
            <w:pPr>
              <w:rPr>
                <w:lang w:val="fr-FR"/>
              </w:rPr>
            </w:pPr>
          </w:p>
        </w:tc>
        <w:tc>
          <w:tcPr>
            <w:tcW w:w="440" w:type="dxa"/>
            <w:tcMar>
              <w:top w:w="0" w:type="dxa"/>
              <w:left w:w="0" w:type="dxa"/>
              <w:bottom w:w="0" w:type="dxa"/>
              <w:right w:w="0" w:type="dxa"/>
            </w:tcMar>
          </w:tcPr>
          <w:p w:rsidR="001F4AEE" w:rsidRPr="00D61EB0" w14:paraId="42E4A76B" w14:textId="77777777">
            <w:pPr>
              <w:rPr>
                <w:lang w:val="fr-FR"/>
              </w:rPr>
            </w:pPr>
          </w:p>
        </w:tc>
      </w:tr>
      <w:tr w14:paraId="71D00D2F"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rsidRPr="00D61EB0" w14:paraId="2CDEDDF7" w14:textId="77777777">
            <w:pPr>
              <w:rPr>
                <w:lang w:val="fr-FR"/>
              </w:rPr>
            </w:pPr>
          </w:p>
        </w:tc>
        <w:tc>
          <w:tcPr>
            <w:tcW w:w="920" w:type="dxa"/>
            <w:tcMar>
              <w:top w:w="0" w:type="dxa"/>
              <w:left w:w="0" w:type="dxa"/>
              <w:bottom w:w="0" w:type="dxa"/>
              <w:right w:w="0" w:type="dxa"/>
            </w:tcMar>
          </w:tcPr>
          <w:p w:rsidR="001F4AEE" w:rsidRPr="00D61EB0" w14:paraId="7CF616C2" w14:textId="77777777">
            <w:pPr>
              <w:rPr>
                <w:lang w:val="fr-FR"/>
              </w:rPr>
            </w:pPr>
          </w:p>
        </w:tc>
        <w:tc>
          <w:tcPr>
            <w:tcW w:w="8000" w:type="dxa"/>
            <w:gridSpan w:val="2"/>
            <w:tcMar>
              <w:top w:w="0" w:type="dxa"/>
              <w:left w:w="0" w:type="dxa"/>
              <w:bottom w:w="0" w:type="dxa"/>
              <w:right w:w="0" w:type="dxa"/>
            </w:tcMar>
            <w:vAlign w:val="center"/>
          </w:tcPr>
          <w:p w:rsidR="001F4AEE" w14:paraId="07D3FC01" w14:textId="77777777">
            <w:pPr>
              <w:pStyle w:val="CoverPropertyValue"/>
              <w:rPr>
                <w:b/>
                <w:lang w:val="fr-FR"/>
              </w:rPr>
            </w:pPr>
            <w:r>
              <w:rPr>
                <w:b/>
                <w:lang w:val="fr-FR"/>
              </w:rPr>
              <w:t>Caceis</w:t>
            </w:r>
            <w:r>
              <w:rPr>
                <w:b/>
                <w:lang w:val="fr-FR"/>
              </w:rPr>
              <w:t xml:space="preserve"> Fund Administration</w:t>
            </w:r>
          </w:p>
        </w:tc>
        <w:tc>
          <w:tcPr>
            <w:tcW w:w="240" w:type="dxa"/>
            <w:tcMar>
              <w:top w:w="0" w:type="dxa"/>
              <w:left w:w="0" w:type="dxa"/>
              <w:bottom w:w="0" w:type="dxa"/>
              <w:right w:w="0" w:type="dxa"/>
            </w:tcMar>
          </w:tcPr>
          <w:p w:rsidR="001F4AEE" w14:paraId="6A7758A6" w14:textId="77777777"/>
        </w:tc>
        <w:tc>
          <w:tcPr>
            <w:tcW w:w="1260" w:type="dxa"/>
            <w:tcMar>
              <w:top w:w="0" w:type="dxa"/>
              <w:left w:w="0" w:type="dxa"/>
              <w:bottom w:w="0" w:type="dxa"/>
              <w:right w:w="0" w:type="dxa"/>
            </w:tcMar>
          </w:tcPr>
          <w:p w:rsidR="001F4AEE" w14:paraId="7F90D189" w14:textId="77777777"/>
        </w:tc>
        <w:tc>
          <w:tcPr>
            <w:tcW w:w="440" w:type="dxa"/>
            <w:tcMar>
              <w:top w:w="0" w:type="dxa"/>
              <w:left w:w="0" w:type="dxa"/>
              <w:bottom w:w="0" w:type="dxa"/>
              <w:right w:w="0" w:type="dxa"/>
            </w:tcMar>
          </w:tcPr>
          <w:p w:rsidR="001F4AEE" w14:paraId="71C370EC" w14:textId="77777777"/>
        </w:tc>
      </w:tr>
      <w:tr w14:paraId="212CA3ED"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5596C33A" w14:textId="77777777"/>
        </w:tc>
        <w:tc>
          <w:tcPr>
            <w:tcW w:w="920" w:type="dxa"/>
            <w:tcMar>
              <w:top w:w="0" w:type="dxa"/>
              <w:left w:w="0" w:type="dxa"/>
              <w:bottom w:w="0" w:type="dxa"/>
              <w:right w:w="0" w:type="dxa"/>
            </w:tcMar>
          </w:tcPr>
          <w:p w:rsidR="001F4AEE" w14:paraId="13CC6B5A" w14:textId="77777777"/>
        </w:tc>
        <w:tc>
          <w:tcPr>
            <w:tcW w:w="8000" w:type="dxa"/>
            <w:gridSpan w:val="2"/>
            <w:tcMar>
              <w:top w:w="0" w:type="dxa"/>
              <w:left w:w="0" w:type="dxa"/>
              <w:bottom w:w="0" w:type="dxa"/>
              <w:right w:w="0" w:type="dxa"/>
            </w:tcMar>
          </w:tcPr>
          <w:p w:rsidR="001F4AEE" w14:paraId="243F2906" w14:textId="77777777">
            <w:pPr>
              <w:pStyle w:val="NormalNoContent"/>
              <w:rPr>
                <w:rFonts w:ascii="Arial" w:eastAsia="Arial" w:hAnsi="Arial" w:cs="Arial"/>
                <w:sz w:val="18"/>
                <w:lang w:val="fr-FR"/>
              </w:rPr>
            </w:pPr>
          </w:p>
        </w:tc>
        <w:tc>
          <w:tcPr>
            <w:tcW w:w="240" w:type="dxa"/>
            <w:tcMar>
              <w:top w:w="0" w:type="dxa"/>
              <w:left w:w="0" w:type="dxa"/>
              <w:bottom w:w="0" w:type="dxa"/>
              <w:right w:w="0" w:type="dxa"/>
            </w:tcMar>
          </w:tcPr>
          <w:p w:rsidR="001F4AEE" w14:paraId="2615900A" w14:textId="77777777"/>
        </w:tc>
        <w:tc>
          <w:tcPr>
            <w:tcW w:w="1260" w:type="dxa"/>
            <w:tcMar>
              <w:top w:w="0" w:type="dxa"/>
              <w:left w:w="0" w:type="dxa"/>
              <w:bottom w:w="0" w:type="dxa"/>
              <w:right w:w="0" w:type="dxa"/>
            </w:tcMar>
          </w:tcPr>
          <w:p w:rsidR="001F4AEE" w14:paraId="2443A6B4" w14:textId="77777777"/>
        </w:tc>
        <w:tc>
          <w:tcPr>
            <w:tcW w:w="440" w:type="dxa"/>
            <w:tcMar>
              <w:top w:w="0" w:type="dxa"/>
              <w:left w:w="0" w:type="dxa"/>
              <w:bottom w:w="0" w:type="dxa"/>
              <w:right w:w="0" w:type="dxa"/>
            </w:tcMar>
          </w:tcPr>
          <w:p w:rsidR="001F4AEE" w14:paraId="525EFD6A" w14:textId="77777777"/>
        </w:tc>
      </w:tr>
      <w:tr w14:paraId="34F65F52"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48997B76" w14:textId="77777777"/>
        </w:tc>
        <w:tc>
          <w:tcPr>
            <w:tcW w:w="920" w:type="dxa"/>
            <w:tcMar>
              <w:top w:w="0" w:type="dxa"/>
              <w:left w:w="0" w:type="dxa"/>
              <w:bottom w:w="0" w:type="dxa"/>
              <w:right w:w="0" w:type="dxa"/>
            </w:tcMar>
          </w:tcPr>
          <w:p w:rsidR="001F4AEE" w14:paraId="432238D5" w14:textId="77777777"/>
        </w:tc>
        <w:tc>
          <w:tcPr>
            <w:tcW w:w="8000" w:type="dxa"/>
            <w:gridSpan w:val="2"/>
            <w:tcMar>
              <w:top w:w="0" w:type="dxa"/>
              <w:left w:w="0" w:type="dxa"/>
              <w:bottom w:w="0" w:type="dxa"/>
              <w:right w:w="0" w:type="dxa"/>
            </w:tcMar>
            <w:vAlign w:val="center"/>
          </w:tcPr>
          <w:p w:rsidR="001F4AEE" w14:paraId="12EB0A7D" w14:textId="77777777">
            <w:pPr>
              <w:pStyle w:val="CoverPropertyNameCover"/>
              <w:rPr>
                <w:lang w:val="fr-FR"/>
              </w:rPr>
            </w:pPr>
            <w:r>
              <w:rPr>
                <w:lang w:val="fr-FR"/>
              </w:rPr>
              <w:t>Dépositaire</w:t>
            </w:r>
          </w:p>
        </w:tc>
        <w:tc>
          <w:tcPr>
            <w:tcW w:w="240" w:type="dxa"/>
            <w:tcMar>
              <w:top w:w="0" w:type="dxa"/>
              <w:left w:w="0" w:type="dxa"/>
              <w:bottom w:w="0" w:type="dxa"/>
              <w:right w:w="0" w:type="dxa"/>
            </w:tcMar>
          </w:tcPr>
          <w:p w:rsidR="001F4AEE" w14:paraId="5DFE1F58" w14:textId="77777777"/>
        </w:tc>
        <w:tc>
          <w:tcPr>
            <w:tcW w:w="1260" w:type="dxa"/>
            <w:tcMar>
              <w:top w:w="0" w:type="dxa"/>
              <w:left w:w="0" w:type="dxa"/>
              <w:bottom w:w="0" w:type="dxa"/>
              <w:right w:w="0" w:type="dxa"/>
            </w:tcMar>
          </w:tcPr>
          <w:p w:rsidR="001F4AEE" w14:paraId="79056D2C" w14:textId="77777777"/>
        </w:tc>
        <w:tc>
          <w:tcPr>
            <w:tcW w:w="440" w:type="dxa"/>
            <w:tcMar>
              <w:top w:w="0" w:type="dxa"/>
              <w:left w:w="0" w:type="dxa"/>
              <w:bottom w:w="0" w:type="dxa"/>
              <w:right w:w="0" w:type="dxa"/>
            </w:tcMar>
          </w:tcPr>
          <w:p w:rsidR="001F4AEE" w14:paraId="603A3B00" w14:textId="77777777"/>
        </w:tc>
      </w:tr>
      <w:tr w14:paraId="037D24FA"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6AB38AFA" w14:textId="77777777"/>
        </w:tc>
        <w:tc>
          <w:tcPr>
            <w:tcW w:w="920" w:type="dxa"/>
            <w:tcMar>
              <w:top w:w="0" w:type="dxa"/>
              <w:left w:w="0" w:type="dxa"/>
              <w:bottom w:w="0" w:type="dxa"/>
              <w:right w:w="0" w:type="dxa"/>
            </w:tcMar>
          </w:tcPr>
          <w:p w:rsidR="001F4AEE" w14:paraId="04E78FE3" w14:textId="77777777"/>
        </w:tc>
        <w:tc>
          <w:tcPr>
            <w:tcW w:w="8000" w:type="dxa"/>
            <w:gridSpan w:val="2"/>
            <w:tcMar>
              <w:top w:w="0" w:type="dxa"/>
              <w:left w:w="0" w:type="dxa"/>
              <w:bottom w:w="0" w:type="dxa"/>
              <w:right w:w="0" w:type="dxa"/>
            </w:tcMar>
            <w:vAlign w:val="center"/>
          </w:tcPr>
          <w:p w:rsidR="001F4AEE" w14:paraId="42879CA1" w14:textId="77777777">
            <w:pPr>
              <w:pStyle w:val="CoverPropertyValue"/>
              <w:rPr>
                <w:b/>
                <w:lang w:val="fr-FR"/>
              </w:rPr>
            </w:pPr>
            <w:r>
              <w:rPr>
                <w:b/>
                <w:lang w:val="fr-FR"/>
              </w:rPr>
              <w:t>CACEIS BANK</w:t>
            </w:r>
          </w:p>
        </w:tc>
        <w:tc>
          <w:tcPr>
            <w:tcW w:w="240" w:type="dxa"/>
            <w:tcMar>
              <w:top w:w="0" w:type="dxa"/>
              <w:left w:w="0" w:type="dxa"/>
              <w:bottom w:w="0" w:type="dxa"/>
              <w:right w:w="0" w:type="dxa"/>
            </w:tcMar>
          </w:tcPr>
          <w:p w:rsidR="001F4AEE" w14:paraId="6790A9EC" w14:textId="77777777"/>
        </w:tc>
        <w:tc>
          <w:tcPr>
            <w:tcW w:w="1260" w:type="dxa"/>
            <w:tcMar>
              <w:top w:w="0" w:type="dxa"/>
              <w:left w:w="0" w:type="dxa"/>
              <w:bottom w:w="0" w:type="dxa"/>
              <w:right w:w="0" w:type="dxa"/>
            </w:tcMar>
          </w:tcPr>
          <w:p w:rsidR="001F4AEE" w14:paraId="33D3AFFB" w14:textId="77777777"/>
        </w:tc>
        <w:tc>
          <w:tcPr>
            <w:tcW w:w="440" w:type="dxa"/>
            <w:tcMar>
              <w:top w:w="0" w:type="dxa"/>
              <w:left w:w="0" w:type="dxa"/>
              <w:bottom w:w="0" w:type="dxa"/>
              <w:right w:w="0" w:type="dxa"/>
            </w:tcMar>
          </w:tcPr>
          <w:p w:rsidR="001F4AEE" w14:paraId="5B130394" w14:textId="77777777"/>
        </w:tc>
      </w:tr>
      <w:tr w14:paraId="5CE7EE86" w14:textId="77777777">
        <w:tblPrEx>
          <w:tblW w:w="0" w:type="auto"/>
          <w:tblInd w:w="880" w:type="dxa"/>
          <w:tblLayout w:type="fixed"/>
          <w:tblLook w:val="04A0"/>
        </w:tblPrEx>
        <w:trPr>
          <w:gridAfter w:val="1"/>
          <w:wAfter w:w="32" w:type="dxa"/>
          <w:trHeight w:val="2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730046FC" w14:textId="77777777"/>
        </w:tc>
        <w:tc>
          <w:tcPr>
            <w:tcW w:w="920" w:type="dxa"/>
            <w:tcMar>
              <w:top w:w="0" w:type="dxa"/>
              <w:left w:w="0" w:type="dxa"/>
              <w:bottom w:w="0" w:type="dxa"/>
              <w:right w:w="0" w:type="dxa"/>
            </w:tcMar>
          </w:tcPr>
          <w:p w:rsidR="001F4AEE" w14:paraId="6CB02C47" w14:textId="77777777"/>
        </w:tc>
        <w:tc>
          <w:tcPr>
            <w:tcW w:w="8000" w:type="dxa"/>
            <w:gridSpan w:val="2"/>
            <w:tcMar>
              <w:top w:w="0" w:type="dxa"/>
              <w:left w:w="0" w:type="dxa"/>
              <w:bottom w:w="0" w:type="dxa"/>
              <w:right w:w="0" w:type="dxa"/>
            </w:tcMar>
          </w:tcPr>
          <w:p w:rsidR="001F4AEE" w14:paraId="3D9F8E03" w14:textId="77777777">
            <w:pPr>
              <w:pStyle w:val="NormalNoContent"/>
              <w:rPr>
                <w:rFonts w:ascii="Arial" w:eastAsia="Arial" w:hAnsi="Arial" w:cs="Arial"/>
                <w:sz w:val="18"/>
                <w:lang w:val="fr-FR"/>
              </w:rPr>
            </w:pPr>
          </w:p>
        </w:tc>
        <w:tc>
          <w:tcPr>
            <w:tcW w:w="240" w:type="dxa"/>
            <w:tcMar>
              <w:top w:w="0" w:type="dxa"/>
              <w:left w:w="0" w:type="dxa"/>
              <w:bottom w:w="0" w:type="dxa"/>
              <w:right w:w="0" w:type="dxa"/>
            </w:tcMar>
          </w:tcPr>
          <w:p w:rsidR="001F4AEE" w14:paraId="2D17EA6C" w14:textId="77777777"/>
        </w:tc>
        <w:tc>
          <w:tcPr>
            <w:tcW w:w="1260" w:type="dxa"/>
            <w:tcMar>
              <w:top w:w="0" w:type="dxa"/>
              <w:left w:w="0" w:type="dxa"/>
              <w:bottom w:w="0" w:type="dxa"/>
              <w:right w:w="0" w:type="dxa"/>
            </w:tcMar>
          </w:tcPr>
          <w:p w:rsidR="001F4AEE" w14:paraId="09890934" w14:textId="77777777"/>
        </w:tc>
        <w:tc>
          <w:tcPr>
            <w:tcW w:w="440" w:type="dxa"/>
            <w:tcMar>
              <w:top w:w="0" w:type="dxa"/>
              <w:left w:w="0" w:type="dxa"/>
              <w:bottom w:w="0" w:type="dxa"/>
              <w:right w:w="0" w:type="dxa"/>
            </w:tcMar>
          </w:tcPr>
          <w:p w:rsidR="001F4AEE" w14:paraId="6932CCCE" w14:textId="77777777"/>
        </w:tc>
      </w:tr>
      <w:tr w14:paraId="37360D12"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48B675E7" w14:textId="77777777"/>
        </w:tc>
        <w:tc>
          <w:tcPr>
            <w:tcW w:w="920" w:type="dxa"/>
            <w:tcMar>
              <w:top w:w="0" w:type="dxa"/>
              <w:left w:w="0" w:type="dxa"/>
              <w:bottom w:w="0" w:type="dxa"/>
              <w:right w:w="0" w:type="dxa"/>
            </w:tcMar>
          </w:tcPr>
          <w:p w:rsidR="001F4AEE" w14:paraId="1AD5F5FD" w14:textId="77777777"/>
        </w:tc>
        <w:tc>
          <w:tcPr>
            <w:tcW w:w="8000" w:type="dxa"/>
            <w:gridSpan w:val="2"/>
            <w:tcMar>
              <w:top w:w="0" w:type="dxa"/>
              <w:left w:w="0" w:type="dxa"/>
              <w:bottom w:w="0" w:type="dxa"/>
              <w:right w:w="0" w:type="dxa"/>
            </w:tcMar>
            <w:vAlign w:val="center"/>
          </w:tcPr>
          <w:p w:rsidR="001F4AEE" w14:paraId="1D4AA0F0" w14:textId="77777777">
            <w:pPr>
              <w:pStyle w:val="CoverPropertyNameCover"/>
              <w:rPr>
                <w:lang w:val="fr-FR"/>
              </w:rPr>
            </w:pPr>
            <w:r>
              <w:rPr>
                <w:lang w:val="fr-FR"/>
              </w:rPr>
              <w:t>Commissaire aux Comptes</w:t>
            </w:r>
          </w:p>
        </w:tc>
        <w:tc>
          <w:tcPr>
            <w:tcW w:w="240" w:type="dxa"/>
            <w:tcMar>
              <w:top w:w="0" w:type="dxa"/>
              <w:left w:w="0" w:type="dxa"/>
              <w:bottom w:w="0" w:type="dxa"/>
              <w:right w:w="0" w:type="dxa"/>
            </w:tcMar>
          </w:tcPr>
          <w:p w:rsidR="001F4AEE" w14:paraId="530CC93D" w14:textId="77777777"/>
        </w:tc>
        <w:tc>
          <w:tcPr>
            <w:tcW w:w="1260" w:type="dxa"/>
            <w:tcMar>
              <w:top w:w="0" w:type="dxa"/>
              <w:left w:w="0" w:type="dxa"/>
              <w:bottom w:w="0" w:type="dxa"/>
              <w:right w:w="0" w:type="dxa"/>
            </w:tcMar>
          </w:tcPr>
          <w:p w:rsidR="001F4AEE" w14:paraId="2C910FE3" w14:textId="77777777"/>
        </w:tc>
        <w:tc>
          <w:tcPr>
            <w:tcW w:w="440" w:type="dxa"/>
            <w:tcMar>
              <w:top w:w="0" w:type="dxa"/>
              <w:left w:w="0" w:type="dxa"/>
              <w:bottom w:w="0" w:type="dxa"/>
              <w:right w:w="0" w:type="dxa"/>
            </w:tcMar>
          </w:tcPr>
          <w:p w:rsidR="001F4AEE" w14:paraId="541B526D" w14:textId="77777777"/>
        </w:tc>
      </w:tr>
      <w:tr w14:paraId="03622D73" w14:textId="77777777">
        <w:tblPrEx>
          <w:tblW w:w="0" w:type="auto"/>
          <w:tblInd w:w="880" w:type="dxa"/>
          <w:tblLayout w:type="fixed"/>
          <w:tblLook w:val="04A0"/>
        </w:tblPrEx>
        <w:trPr>
          <w:gridAfter w:val="1"/>
          <w:wAfter w:w="32" w:type="dxa"/>
          <w:trHeight w:val="28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2FA02D7A" w14:textId="77777777"/>
        </w:tc>
        <w:tc>
          <w:tcPr>
            <w:tcW w:w="920" w:type="dxa"/>
            <w:tcMar>
              <w:top w:w="0" w:type="dxa"/>
              <w:left w:w="0" w:type="dxa"/>
              <w:bottom w:w="0" w:type="dxa"/>
              <w:right w:w="0" w:type="dxa"/>
            </w:tcMar>
          </w:tcPr>
          <w:p w:rsidR="001F4AEE" w14:paraId="2EFD752B" w14:textId="77777777"/>
        </w:tc>
        <w:tc>
          <w:tcPr>
            <w:tcW w:w="8000" w:type="dxa"/>
            <w:gridSpan w:val="2"/>
            <w:tcMar>
              <w:top w:w="0" w:type="dxa"/>
              <w:left w:w="0" w:type="dxa"/>
              <w:bottom w:w="0" w:type="dxa"/>
              <w:right w:w="0" w:type="dxa"/>
            </w:tcMar>
            <w:vAlign w:val="center"/>
          </w:tcPr>
          <w:p w:rsidR="001F4AEE" w14:paraId="4C84AFE9" w14:textId="77777777">
            <w:pPr>
              <w:pStyle w:val="CoverPropertyValue"/>
              <w:rPr>
                <w:b/>
                <w:lang w:val="fr-FR"/>
              </w:rPr>
            </w:pPr>
            <w:r>
              <w:rPr>
                <w:b/>
                <w:lang w:val="fr-FR"/>
              </w:rPr>
              <w:t>PRICEWATERHOUSECOOPERS AUDIT</w:t>
            </w:r>
          </w:p>
        </w:tc>
        <w:tc>
          <w:tcPr>
            <w:tcW w:w="240" w:type="dxa"/>
            <w:tcMar>
              <w:top w:w="0" w:type="dxa"/>
              <w:left w:w="0" w:type="dxa"/>
              <w:bottom w:w="0" w:type="dxa"/>
              <w:right w:w="0" w:type="dxa"/>
            </w:tcMar>
          </w:tcPr>
          <w:p w:rsidR="001F4AEE" w14:paraId="195D6DD1" w14:textId="77777777"/>
        </w:tc>
        <w:tc>
          <w:tcPr>
            <w:tcW w:w="1260" w:type="dxa"/>
            <w:tcMar>
              <w:top w:w="0" w:type="dxa"/>
              <w:left w:w="0" w:type="dxa"/>
              <w:bottom w:w="0" w:type="dxa"/>
              <w:right w:w="0" w:type="dxa"/>
            </w:tcMar>
          </w:tcPr>
          <w:p w:rsidR="001F4AEE" w14:paraId="304A9B2E" w14:textId="77777777"/>
        </w:tc>
        <w:tc>
          <w:tcPr>
            <w:tcW w:w="440" w:type="dxa"/>
            <w:tcMar>
              <w:top w:w="0" w:type="dxa"/>
              <w:left w:w="0" w:type="dxa"/>
              <w:bottom w:w="0" w:type="dxa"/>
              <w:right w:w="0" w:type="dxa"/>
            </w:tcMar>
          </w:tcPr>
          <w:p w:rsidR="001F4AEE" w14:paraId="39300CA7" w14:textId="77777777"/>
        </w:tc>
      </w:tr>
      <w:tr w14:paraId="182214D2" w14:textId="77777777">
        <w:tblPrEx>
          <w:tblW w:w="0" w:type="auto"/>
          <w:tblInd w:w="880" w:type="dxa"/>
          <w:tblLayout w:type="fixed"/>
          <w:tblLook w:val="04A0"/>
        </w:tblPrEx>
        <w:trPr>
          <w:gridAfter w:val="1"/>
          <w:wAfter w:w="32" w:type="dxa"/>
          <w:trHeight w:val="1425"/>
        </w:trPr>
        <w:tc>
          <w:tcPr>
            <w:tcW w:w="120" w:type="dxa"/>
            <w:vMerge/>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687652E4" w14:textId="77777777"/>
        </w:tc>
        <w:tc>
          <w:tcPr>
            <w:tcW w:w="920" w:type="dxa"/>
            <w:tcMar>
              <w:top w:w="0" w:type="dxa"/>
              <w:left w:w="0" w:type="dxa"/>
              <w:bottom w:w="0" w:type="dxa"/>
              <w:right w:w="0" w:type="dxa"/>
            </w:tcMar>
          </w:tcPr>
          <w:p w:rsidR="001F4AEE" w14:paraId="1E56E4EC" w14:textId="77777777"/>
        </w:tc>
        <w:tc>
          <w:tcPr>
            <w:tcW w:w="5640" w:type="dxa"/>
            <w:tcMar>
              <w:top w:w="0" w:type="dxa"/>
              <w:left w:w="0" w:type="dxa"/>
              <w:bottom w:w="0" w:type="dxa"/>
              <w:right w:w="0" w:type="dxa"/>
            </w:tcMar>
          </w:tcPr>
          <w:p w:rsidR="001F4AEE" w14:paraId="06990163" w14:textId="77777777"/>
        </w:tc>
        <w:tc>
          <w:tcPr>
            <w:tcW w:w="2360" w:type="dxa"/>
            <w:tcMar>
              <w:top w:w="0" w:type="dxa"/>
              <w:left w:w="0" w:type="dxa"/>
              <w:bottom w:w="0" w:type="dxa"/>
              <w:right w:w="0" w:type="dxa"/>
            </w:tcMar>
          </w:tcPr>
          <w:p w:rsidR="001F4AEE" w14:paraId="36D6E9AA" w14:textId="77777777"/>
        </w:tc>
        <w:tc>
          <w:tcPr>
            <w:tcW w:w="240" w:type="dxa"/>
            <w:tcMar>
              <w:top w:w="0" w:type="dxa"/>
              <w:left w:w="0" w:type="dxa"/>
              <w:bottom w:w="0" w:type="dxa"/>
              <w:right w:w="0" w:type="dxa"/>
            </w:tcMar>
          </w:tcPr>
          <w:p w:rsidR="001F4AEE" w14:paraId="6DCEE929" w14:textId="77777777"/>
        </w:tc>
        <w:tc>
          <w:tcPr>
            <w:tcW w:w="1260" w:type="dxa"/>
            <w:tcMar>
              <w:top w:w="0" w:type="dxa"/>
              <w:left w:w="0" w:type="dxa"/>
              <w:bottom w:w="0" w:type="dxa"/>
              <w:right w:w="0" w:type="dxa"/>
            </w:tcMar>
          </w:tcPr>
          <w:p w:rsidR="001F4AEE" w14:paraId="35D3B1E5" w14:textId="77777777"/>
        </w:tc>
        <w:tc>
          <w:tcPr>
            <w:tcW w:w="440" w:type="dxa"/>
            <w:tcMar>
              <w:top w:w="0" w:type="dxa"/>
              <w:left w:w="0" w:type="dxa"/>
              <w:bottom w:w="0" w:type="dxa"/>
              <w:right w:w="0" w:type="dxa"/>
            </w:tcMar>
          </w:tcPr>
          <w:p w:rsidR="001F4AEE" w14:paraId="155C7C87" w14:textId="77777777"/>
        </w:tc>
      </w:tr>
      <w:tr w14:paraId="133C9FED" w14:textId="77777777">
        <w:tblPrEx>
          <w:tblW w:w="0" w:type="auto"/>
          <w:tblInd w:w="880" w:type="dxa"/>
          <w:tblLayout w:type="fixed"/>
          <w:tblLook w:val="04A0"/>
        </w:tblPrEx>
        <w:trPr>
          <w:trHeight w:hRule="exact" w:val="105"/>
        </w:trPr>
        <w:tc>
          <w:tcPr>
            <w:tcW w:w="11000" w:type="dxa"/>
            <w:gridSpan w:val="8"/>
            <w:tcBorders>
              <w:top w:val="single" w:sz="8" w:space="0" w:color="009EE0"/>
              <w:left w:val="single" w:sz="8" w:space="0" w:color="009EE0"/>
              <w:bottom w:val="single" w:sz="8" w:space="0" w:color="009EE0"/>
              <w:right w:val="single" w:sz="8" w:space="0" w:color="009EE0"/>
            </w:tcBorders>
            <w:shd w:val="clear" w:color="009EE0" w:fill="009EE0"/>
            <w:tcMar>
              <w:top w:w="0" w:type="dxa"/>
              <w:left w:w="0" w:type="dxa"/>
              <w:bottom w:w="0" w:type="dxa"/>
              <w:right w:w="0" w:type="dxa"/>
            </w:tcMar>
          </w:tcPr>
          <w:p w:rsidR="001F4AEE" w14:paraId="6E858498" w14:textId="77777777"/>
        </w:tc>
      </w:tr>
    </w:tbl>
    <w:p w:rsidR="001F4AEE" w14:paraId="17CFFF5F" w14:textId="77777777">
      <w:pPr>
        <w:spacing w:line="105" w:lineRule="exact"/>
        <w:rPr>
          <w:sz w:val="11"/>
        </w:rPr>
      </w:pPr>
      <w:r>
        <w:t xml:space="preserve"> </w:t>
      </w:r>
    </w:p>
    <w:p w:rsidR="001F4AEE" w14:paraId="2184A2CD" w14:textId="77777777">
      <w:pPr>
        <w:ind w:left="10280" w:right="20"/>
        <w:rPr>
          <w:rFonts w:ascii="Arial" w:eastAsia="Arial" w:hAnsi="Arial" w:cs="Arial"/>
          <w:sz w:val="18"/>
          <w:lang w:val="fr-FR"/>
        </w:rPr>
        <w:sectPr>
          <w:headerReference w:type="default" r:id="rId5"/>
          <w:footerReference w:type="default" r:id="rId6"/>
          <w:pgSz w:w="11900" w:h="16840"/>
          <w:pgMar w:top="0" w:right="0" w:bottom="0" w:left="0" w:header="0" w:footer="0" w:gutter="0"/>
          <w:cols w:space="720"/>
          <w:docGrid w:linePitch="360"/>
        </w:sectPr>
      </w:pPr>
      <w:bookmarkStart w:id="1" w:name="COVER_END"/>
      <w:bookmarkEnd w:id="1"/>
    </w:p>
    <w:p w:rsidR="001F4AEE" w14:paraId="78664A4B" w14:textId="77777777">
      <w:pPr>
        <w:pStyle w:val="TocTitle"/>
        <w:spacing w:after="255"/>
        <w:rPr>
          <w:lang w:val="fr-FR"/>
        </w:rPr>
      </w:pPr>
      <w:bookmarkStart w:id="2" w:name="TOC_START"/>
      <w:bookmarkEnd w:id="2"/>
      <w:r>
        <w:rPr>
          <w:lang w:val="fr-FR"/>
        </w:rPr>
        <w:t>Sommaire</w:t>
      </w:r>
    </w:p>
    <w:p w:rsidR="001F4AEE" w14:paraId="073D0574" w14:textId="77777777">
      <w:pPr>
        <w:pStyle w:val="TocIndexTitle"/>
        <w:spacing w:after="75"/>
        <w:ind w:right="100"/>
        <w:rPr>
          <w:lang w:val="fr-FR"/>
        </w:rPr>
      </w:pPr>
      <w:r>
        <w:rPr>
          <w:lang w:val="fr-FR"/>
        </w:rPr>
        <w:t xml:space="preserve"> </w:t>
      </w:r>
      <w:r>
        <w:rPr>
          <w:lang w:val="fr-FR"/>
        </w:rPr>
        <w:tab/>
        <w:t>Pages</w:t>
      </w:r>
    </w:p>
    <w:bookmarkStart w:id="3" w:name="60A15B938E2B922E5374CF2C6921C193"/>
    <w:bookmarkEnd w:id="3"/>
    <w:p w:rsidR="001F4AEE" w14:paraId="4B06DD53" w14:textId="6FD396DF">
      <w:pPr>
        <w:pStyle w:val="SepList"/>
        <w:ind w:right="4400"/>
        <w:rPr>
          <w:sz w:val="1"/>
          <w:lang w:val="fr-FR"/>
        </w:rPr>
      </w:pPr>
      <w:r>
        <w:rPr>
          <w:sz w:val="1"/>
          <w:lang w:val="fr-FR"/>
        </w:rPr>
        <w:fldChar w:fldCharType="begin"/>
      </w:r>
      <w:r>
        <w:rPr>
          <w:sz w:val="1"/>
          <w:lang w:val="fr-FR"/>
        </w:rPr>
        <w:instrText xml:space="preserve"> = MOD(3,2) </w:instrText>
      </w:r>
      <w:r>
        <w:rPr>
          <w:sz w:val="1"/>
          <w:lang w:val="fr-FR"/>
        </w:rPr>
        <w:fldChar w:fldCharType="separate"/>
      </w:r>
      <w:r>
        <w:rPr>
          <w:sz w:val="1"/>
          <w:lang w:val="fr-FR"/>
        </w:rPr>
        <w:t>1</w:t>
      </w:r>
      <w:r>
        <w:rPr>
          <w:sz w:val="1"/>
          <w:lang w:val="fr-FR"/>
        </w:rPr>
        <w:fldChar w:fldCharType="end"/>
      </w:r>
    </w:p>
    <w:p w:rsidR="00D61EB0" w14:paraId="13D98D65" w14:textId="0EDCE3FA">
      <w:pPr>
        <w:pStyle w:val="TOC1"/>
        <w:rPr>
          <w:rFonts w:asciiTheme="minorHAnsi" w:eastAsiaTheme="minorEastAsia" w:hAnsiTheme="minorHAnsi" w:cstheme="minorBidi"/>
          <w:b w:val="0"/>
          <w:noProof/>
          <w:color w:val="auto"/>
          <w:kern w:val="2"/>
          <w:sz w:val="24"/>
          <w:szCs w:val="24"/>
          <w:lang w:val="fr-FR" w:eastAsia="fr-FR"/>
          <w14:ligatures w14:val="standardContextual"/>
        </w:rPr>
      </w:pPr>
      <w:r>
        <w:rPr>
          <w:sz w:val="2"/>
          <w:lang w:val="fr-FR"/>
        </w:rPr>
        <w:fldChar w:fldCharType="begin"/>
      </w:r>
      <w:r>
        <w:rPr>
          <w:b w:val="0"/>
          <w:sz w:val="2"/>
          <w:lang w:val="fr-FR"/>
        </w:rPr>
        <w:instrText>SET Comma "RefToc1,1,RefToc2,2,RefToc3,3,RefToc4,4,RefToc5,5,RefToc6,6,RefToc7,7,RefToc8,8,RefToc9,9"</w:instrText>
      </w:r>
      <w:r>
        <w:rPr>
          <w:sz w:val="2"/>
          <w:lang w:val="fr-FR"/>
        </w:rPr>
        <w:fldChar w:fldCharType="separate"/>
      </w:r>
      <w:bookmarkStart w:id="4" w:name="Comma"/>
      <w:r>
        <w:rPr>
          <w:b w:val="0"/>
          <w:sz w:val="2"/>
          <w:lang w:val="fr-FR"/>
        </w:rPr>
        <w:t>RefToc1,1,RefToc2,2,RefToc3,3,RefToc4,4,RefToc5,5,RefToc6,6,RefToc7,7,RefToc8,8,RefToc9,9</w:t>
      </w:r>
      <w:bookmarkEnd w:id="4"/>
      <w:r>
        <w:rPr>
          <w:sz w:val="2"/>
          <w:lang w:val="fr-FR"/>
        </w:rPr>
        <w:fldChar w:fldCharType="end"/>
      </w:r>
      <w:r>
        <w:rPr>
          <w:sz w:val="2"/>
          <w:lang w:val="fr-FR"/>
        </w:rPr>
        <w:fldChar w:fldCharType="begin"/>
      </w:r>
      <w:r>
        <w:rPr>
          <w:b w:val="0"/>
          <w:sz w:val="2"/>
          <w:lang w:val="fr-FR"/>
        </w:rPr>
        <w:instrText>SET Semicolon "RefToc1;1;RefToc2;2;RefToc3;3;RefToc4;4;RefToc5;5;RefToc6;6;RefToc7;7;RefToc8;8;RefToc9;9"</w:instrText>
      </w:r>
      <w:r>
        <w:rPr>
          <w:sz w:val="2"/>
          <w:lang w:val="fr-FR"/>
        </w:rPr>
        <w:fldChar w:fldCharType="separate"/>
      </w:r>
      <w:bookmarkStart w:id="5" w:name="Semicolon"/>
      <w:r>
        <w:rPr>
          <w:b w:val="0"/>
          <w:sz w:val="2"/>
          <w:lang w:val="fr-FR"/>
        </w:rPr>
        <w:t>RefToc1;1;RefToc2;2;RefToc3;3;RefToc4;4;RefToc5;5;RefToc6;6;RefToc7;7;RefToc8;8;RefToc9;9</w:t>
      </w:r>
      <w:bookmarkEnd w:id="5"/>
      <w:r>
        <w:rPr>
          <w:sz w:val="2"/>
          <w:lang w:val="fr-FR"/>
        </w:rPr>
        <w:fldChar w:fldCharType="end"/>
      </w:r>
      <w:r>
        <w:fldChar w:fldCharType="begin"/>
      </w:r>
      <w:r>
        <w:rPr>
          <w:b w:val="0"/>
          <w:sz w:val="2"/>
          <w:lang w:val="fr-FR"/>
        </w:rPr>
        <w:instrText xml:space="preserve"> TOC \t </w:instrText>
      </w:r>
      <w:r>
        <w:fldChar w:fldCharType="begin"/>
      </w:r>
      <w:r>
        <w:rPr>
          <w:b w:val="0"/>
          <w:sz w:val="2"/>
          <w:lang w:val="fr-FR"/>
        </w:rPr>
        <w:instrText xml:space="preserve"> IF </w:instrText>
      </w:r>
      <w:r>
        <w:fldChar w:fldCharType="begin"/>
      </w:r>
      <w:r>
        <w:rPr>
          <w:b w:val="0"/>
          <w:sz w:val="2"/>
          <w:lang w:val="fr-FR"/>
        </w:rPr>
        <w:instrText xml:space="preserve"> STYLEREF SepList </w:instrText>
      </w:r>
      <w:r>
        <w:fldChar w:fldCharType="separate"/>
      </w:r>
      <w:r>
        <w:rPr>
          <w:b w:val="0"/>
          <w:sz w:val="2"/>
          <w:lang w:val="fr-FR"/>
        </w:rPr>
        <w:instrText>1</w:instrText>
      </w:r>
      <w:r>
        <w:fldChar w:fldCharType="end"/>
      </w:r>
      <w:r>
        <w:rPr>
          <w:b w:val="0"/>
          <w:sz w:val="2"/>
          <w:lang w:val="fr-FR"/>
        </w:rPr>
        <w:instrText xml:space="preserve"> = 1 </w:instrText>
      </w:r>
      <w:r>
        <w:fldChar w:fldCharType="begin"/>
      </w:r>
      <w:r>
        <w:rPr>
          <w:b w:val="0"/>
          <w:sz w:val="2"/>
          <w:lang w:val="fr-FR"/>
        </w:rPr>
        <w:instrText xml:space="preserve"> REF Comma </w:instrText>
      </w:r>
      <w:r>
        <w:fldChar w:fldCharType="separate"/>
      </w:r>
      <w:r>
        <w:rPr>
          <w:b w:val="0"/>
          <w:sz w:val="2"/>
          <w:lang w:val="fr-FR"/>
        </w:rPr>
        <w:instrText>RefToc1,1,RefToc2,2,RefToc3,3,RefToc4,4,RefToc5,5,RefToc6,6,RefToc7,7,RefToc8,8,RefToc9,9</w:instrText>
      </w:r>
      <w:r>
        <w:fldChar w:fldCharType="end"/>
      </w:r>
      <w:r>
        <w:rPr>
          <w:b w:val="0"/>
          <w:sz w:val="2"/>
          <w:lang w:val="fr-FR"/>
        </w:rPr>
        <w:instrText xml:space="preserve"> </w:instrText>
      </w:r>
      <w:r>
        <w:fldChar w:fldCharType="begin"/>
      </w:r>
      <w:r>
        <w:rPr>
          <w:b w:val="0"/>
          <w:sz w:val="2"/>
          <w:lang w:val="fr-FR"/>
        </w:rPr>
        <w:instrText xml:space="preserve"> REF Semicolon </w:instrText>
      </w:r>
      <w:r>
        <w:fldChar w:fldCharType="separate"/>
      </w:r>
      <w:r>
        <w:rPr>
          <w:b w:val="0"/>
          <w:sz w:val="2"/>
          <w:lang w:val="fr-FR"/>
        </w:rPr>
        <w:instrText>RefToc1;1;RefToc2;2;RefToc3;3;RefToc4;4;RefToc5;5;RefToc6;6;RefToc7;7;RefToc8;8;RefToc9;9</w:instrText>
      </w:r>
      <w:r>
        <w:fldChar w:fldCharType="end"/>
      </w:r>
      <w:r>
        <w:rPr>
          <w:b w:val="0"/>
          <w:sz w:val="2"/>
          <w:lang w:val="fr-FR"/>
        </w:rPr>
        <w:instrText xml:space="preserve"> </w:instrText>
      </w:r>
      <w:r>
        <w:fldChar w:fldCharType="separate"/>
      </w:r>
      <w:r>
        <w:rPr>
          <w:b w:val="0"/>
          <w:sz w:val="2"/>
          <w:lang w:val="fr-FR"/>
        </w:rPr>
        <w:instrText>RefToc1,1,RefToc2,2,RefToc3,3,RefToc4,4,RefToc5,5,RefToc6,6,RefToc7,7,RefToc8,8,RefToc9,9</w:instrText>
      </w:r>
      <w:r>
        <w:fldChar w:fldCharType="end"/>
      </w:r>
      <w:r>
        <w:rPr>
          <w:b w:val="0"/>
          <w:sz w:val="2"/>
          <w:lang w:val="fr-FR"/>
        </w:rPr>
        <w:instrText xml:space="preserve"> \l 1-9 \h \z </w:instrText>
      </w:r>
      <w:r>
        <w:fldChar w:fldCharType="separate"/>
      </w:r>
    </w:p>
    <w:p w14:paraId="1DF2A4C0" w14:textId="77777777">
      <w:pPr>
        <w:pStyle w:val="TOC1"/>
        <w:rPr>
          <w:rFonts w:asciiTheme="minorHAnsi" w:hAnsiTheme="minorHAnsi"/>
          <w:noProof/>
          <w:sz w:val="22"/>
        </w:rPr>
      </w:pPr>
      <w:hyperlink w:anchor="_Toc256000000" w:history="1">
        <w:r>
          <w:rPr>
            <w:rStyle w:val="Hyperlink"/>
            <w:lang w:val="fr-FR"/>
          </w:rPr>
          <w:t>Caractéristiques de l’OPC</w:t>
        </w:r>
        <w:r>
          <w:tab/>
        </w:r>
        <w:r>
          <w:fldChar w:fldCharType="begin"/>
        </w:r>
        <w:r>
          <w:instrText xml:space="preserve"> PAGEREF _Toc256000000 \h </w:instrText>
        </w:r>
        <w:r>
          <w:fldChar w:fldCharType="separate"/>
        </w:r>
        <w:r>
          <w:t>3</w:t>
        </w:r>
        <w:r>
          <w:fldChar w:fldCharType="end"/>
        </w:r>
      </w:hyperlink>
    </w:p>
    <w:p>
      <w:pPr>
        <w:pStyle w:val="TOC1"/>
        <w:rPr>
          <w:rFonts w:asciiTheme="minorHAnsi" w:hAnsiTheme="minorHAnsi"/>
          <w:noProof/>
          <w:sz w:val="22"/>
        </w:rPr>
      </w:pPr>
      <w:hyperlink w:anchor="_Toc256000001" w:history="1">
        <w:r>
          <w:rPr>
            <w:rStyle w:val="Hyperlink"/>
            <w:lang w:val="fr-FR"/>
          </w:rPr>
          <w:t>Compte rendu d'activité</w:t>
        </w:r>
        <w:r>
          <w:tab/>
        </w:r>
        <w:r>
          <w:fldChar w:fldCharType="begin"/>
        </w:r>
        <w:r>
          <w:instrText xml:space="preserve"> PAGEREF _Toc256000001 \h </w:instrText>
        </w:r>
        <w:r>
          <w:fldChar w:fldCharType="separate"/>
        </w:r>
        <w:r>
          <w:t>8</w:t>
        </w:r>
        <w:r>
          <w:fldChar w:fldCharType="end"/>
        </w:r>
      </w:hyperlink>
    </w:p>
    <w:p>
      <w:pPr>
        <w:pStyle w:val="TOC1"/>
        <w:rPr>
          <w:rFonts w:asciiTheme="minorHAnsi" w:hAnsiTheme="minorHAnsi"/>
          <w:noProof/>
          <w:sz w:val="22"/>
        </w:rPr>
      </w:pPr>
      <w:hyperlink w:anchor="_Toc256000003" w:history="1">
        <w:r>
          <w:rPr>
            <w:rStyle w:val="Hyperlink"/>
            <w:lang w:val="fr-FR"/>
          </w:rPr>
          <w:t>Vie de l’OPC sur l’exercice sous revue</w:t>
        </w:r>
        <w:r>
          <w:tab/>
        </w:r>
        <w:r>
          <w:fldChar w:fldCharType="begin"/>
        </w:r>
        <w:r>
          <w:instrText xml:space="preserve"> PAGEREF _Toc256000003 \h </w:instrText>
        </w:r>
        <w:r>
          <w:fldChar w:fldCharType="separate"/>
        </w:r>
        <w:r>
          <w:t>10</w:t>
        </w:r>
        <w:r>
          <w:fldChar w:fldCharType="end"/>
        </w:r>
      </w:hyperlink>
    </w:p>
    <w:p>
      <w:pPr>
        <w:pStyle w:val="TOC1"/>
        <w:rPr>
          <w:rFonts w:asciiTheme="minorHAnsi" w:hAnsiTheme="minorHAnsi"/>
          <w:noProof/>
          <w:sz w:val="22"/>
        </w:rPr>
      </w:pPr>
      <w:hyperlink w:anchor="_Toc256000004" w:history="1">
        <w:r>
          <w:rPr>
            <w:rStyle w:val="Hyperlink"/>
            <w:lang w:val="fr-FR"/>
          </w:rPr>
          <w:t>Informations spécifiques</w:t>
        </w:r>
        <w:r>
          <w:tab/>
        </w:r>
        <w:r>
          <w:fldChar w:fldCharType="begin"/>
        </w:r>
        <w:r>
          <w:instrText xml:space="preserve"> PAGEREF _Toc256000004 \h </w:instrText>
        </w:r>
        <w:r>
          <w:fldChar w:fldCharType="separate"/>
        </w:r>
        <w:r>
          <w:t>11</w:t>
        </w:r>
        <w:r>
          <w:fldChar w:fldCharType="end"/>
        </w:r>
      </w:hyperlink>
    </w:p>
    <w:p>
      <w:pPr>
        <w:pStyle w:val="TOC1"/>
        <w:rPr>
          <w:rFonts w:asciiTheme="minorHAnsi" w:hAnsiTheme="minorHAnsi"/>
          <w:noProof/>
          <w:sz w:val="22"/>
        </w:rPr>
      </w:pPr>
      <w:hyperlink w:anchor="_Toc256000009" w:history="1">
        <w:r>
          <w:rPr>
            <w:rStyle w:val="Hyperlink"/>
            <w:lang w:val="fr-FR"/>
          </w:rPr>
          <w:t>Attestation du commissaire aux comptes</w:t>
        </w:r>
        <w:r>
          <w:tab/>
        </w:r>
        <w:r>
          <w:fldChar w:fldCharType="begin"/>
        </w:r>
        <w:r>
          <w:instrText xml:space="preserve"> PAGEREF _Toc256000009 \h </w:instrText>
        </w:r>
        <w:r>
          <w:fldChar w:fldCharType="separate"/>
        </w:r>
        <w:r>
          <w:t>12</w:t>
        </w:r>
        <w:r>
          <w:fldChar w:fldCharType="end"/>
        </w:r>
      </w:hyperlink>
    </w:p>
    <w:p>
      <w:pPr>
        <w:pStyle w:val="TOC1"/>
        <w:rPr>
          <w:rFonts w:asciiTheme="minorHAnsi" w:hAnsiTheme="minorHAnsi"/>
          <w:noProof/>
          <w:sz w:val="22"/>
        </w:rPr>
      </w:pPr>
      <w:hyperlink w:anchor="_Toc256000010" w:history="1">
        <w:r>
          <w:rPr>
            <w:rStyle w:val="Hyperlink"/>
            <w:lang w:val="fr-FR"/>
          </w:rPr>
          <w:t>Portefeuille Titres Détaillé</w:t>
        </w:r>
        <w:r>
          <w:tab/>
        </w:r>
        <w:r>
          <w:fldChar w:fldCharType="begin"/>
        </w:r>
        <w:r>
          <w:instrText xml:space="preserve"> PAGEREF _Toc256000010 \h </w:instrText>
        </w:r>
        <w:r>
          <w:fldChar w:fldCharType="separate"/>
        </w:r>
        <w:r>
          <w:t>13</w:t>
        </w:r>
        <w:r>
          <w:fldChar w:fldCharType="end"/>
        </w:r>
      </w:hyperlink>
    </w:p>
    <w:p w:rsidR="001F4AEE">
      <w:pPr>
        <w:pStyle w:val="SimpleStyle"/>
        <w:ind w:right="100"/>
      </w:pPr>
      <w:r>
        <w:fldChar w:fldCharType="end"/>
      </w:r>
    </w:p>
    <w:p w:rsidR="00D61EB0" w14:paraId="44FAE16E" w14:textId="77777777">
      <w:pPr>
        <w:pStyle w:val="SimpleStyle"/>
        <w:ind w:right="100"/>
      </w:pPr>
    </w:p>
    <w:p w:rsidR="00D61EB0" w14:paraId="39EFD6A5" w14:textId="1C14BF04">
      <w:pPr>
        <w:rPr>
          <w:rFonts w:ascii="Arial" w:eastAsia="Arial" w:hAnsi="Arial" w:cs="Arial"/>
          <w:sz w:val="18"/>
          <w:szCs w:val="20"/>
        </w:rPr>
      </w:pPr>
      <w:r>
        <w:br w:type="page"/>
      </w:r>
    </w:p>
    <w:p w:rsidR="00D61EB0" w:rsidP="00D61EB0" w14:paraId="4870D2D4" w14:textId="77777777">
      <w:pPr>
        <w:spacing w:line="15" w:lineRule="exact"/>
      </w:pPr>
    </w:p>
    <w:p w:rsidR="00D61EB0" w:rsidP="00D61EB0" w14:paraId="2B54F751" w14:textId="77777777">
      <w:pPr>
        <w:ind w:right="8400"/>
        <w:rPr>
          <w:rFonts w:ascii="Arial" w:eastAsia="Arial" w:hAnsi="Arial" w:cs="Arial"/>
          <w:lang w:val="fr-FR"/>
        </w:rPr>
      </w:pPr>
    </w:p>
    <w:p w:rsidR="00D61EB0" w:rsidP="00D61EB0" w14:paraId="75A0B245" w14:textId="77777777">
      <w:pPr>
        <w:spacing w:after="180"/>
        <w:ind w:right="2400"/>
        <w:rPr>
          <w:rFonts w:ascii="Arial" w:eastAsia="Arial" w:hAnsi="Arial" w:cs="Arial"/>
          <w:sz w:val="0"/>
          <w:lang w:val="fr-FR"/>
        </w:rPr>
      </w:pPr>
      <w:r>
        <w:rPr>
          <w:rFonts w:ascii="Arial" w:eastAsia="Arial" w:hAnsi="Arial" w:cs="Arial"/>
          <w:sz w:val="0"/>
          <w:lang w:val="fr-FR"/>
        </w:rPr>
        <w:fldChar w:fldCharType="begin"/>
      </w:r>
      <w:r>
        <w:rPr>
          <w:rFonts w:ascii="Arial" w:eastAsia="Arial" w:hAnsi="Arial" w:cs="Arial"/>
          <w:sz w:val="0"/>
          <w:lang w:val="fr-FR"/>
        </w:rPr>
        <w:instrText xml:space="preserve"> SET B878948EF4E19FCDBE65D96D143E5CDF "" </w:instrText>
      </w:r>
      <w:r>
        <w:rPr>
          <w:rFonts w:ascii="Arial" w:eastAsia="Arial" w:hAnsi="Arial" w:cs="Arial"/>
          <w:sz w:val="0"/>
          <w:lang w:val="fr-FR"/>
        </w:rPr>
        <w:fldChar w:fldCharType="separate"/>
      </w:r>
      <w:bookmarkStart w:id="6" w:name="B878948EF4E19FCDBE65D96D143E5CDF"/>
      <w:bookmarkEnd w:id="6"/>
      <w:r>
        <w:rPr>
          <w:rFonts w:ascii="Arial" w:eastAsia="Arial" w:hAnsi="Arial" w:cs="Arial"/>
          <w:sz w:val="0"/>
          <w:lang w:val="fr-FR"/>
        </w:rPr>
        <w:fldChar w:fldCharType="end"/>
      </w:r>
    </w:p>
    <w:p w:rsidR="00D61EB0" w:rsidP="00D61EB0" w14:paraId="30E3E4B9" w14:textId="77777777">
      <w:pPr>
        <w:pStyle w:val="H1"/>
        <w:spacing w:before="180" w:after="90"/>
        <w:ind w:right="100"/>
        <w:rPr>
          <w:lang w:val="fr-FR"/>
        </w:rPr>
      </w:pPr>
      <w:bookmarkStart w:id="7" w:name="Caractéristiques_de_l’OPC"/>
      <w:bookmarkEnd w:id="7"/>
      <w:r>
        <w:rPr>
          <w:lang w:val="fr-FR"/>
        </w:rPr>
        <w:t>Caractéristiques de l’OPC</w:t>
      </w:r>
    </w:p>
    <w:p w:rsidR="00D61EB0" w:rsidP="00D61EB0" w14:paraId="31CA572A" w14:textId="77777777">
      <w:pPr>
        <w:pStyle w:val="RefToc1"/>
        <w:ind w:right="100"/>
        <w:rPr>
          <w:lang w:val="fr-FR"/>
        </w:rPr>
      </w:pPr>
      <w:bookmarkStart w:id="8" w:name="BK_246B0237FD7E14623817F662D034F4F2"/>
      <w:bookmarkEnd w:id="8"/>
      <w:bookmarkStart w:id="9" w:name="_Toc256000000"/>
      <w:r>
        <w:rPr>
          <w:lang w:val="fr-FR"/>
        </w:rPr>
        <w:t>Caractéristiques de l’OPC</w:t>
      </w:r>
      <w:bookmarkEnd w:id="9"/>
    </w:p>
    <w:p w:rsidR="00D61EB0" w:rsidP="00D61EB0" w14:paraId="3A7EA473" w14:textId="77777777">
      <w:pPr>
        <w:spacing w:after="140"/>
        <w:ind w:right="2400"/>
        <w:rPr>
          <w:rFonts w:ascii="Arial" w:eastAsia="Arial" w:hAnsi="Arial" w:cs="Arial"/>
          <w:sz w:val="0"/>
          <w:lang w:val="fr-FR"/>
        </w:rPr>
      </w:pPr>
      <w:r>
        <w:rPr>
          <w:rFonts w:ascii="Arial" w:eastAsia="Arial" w:hAnsi="Arial" w:cs="Arial"/>
          <w:sz w:val="0"/>
          <w:lang w:val="fr-FR"/>
        </w:rPr>
        <w:fldChar w:fldCharType="begin"/>
      </w:r>
      <w:r>
        <w:rPr>
          <w:rFonts w:ascii="Arial" w:eastAsia="Arial" w:hAnsi="Arial" w:cs="Arial"/>
          <w:sz w:val="0"/>
          <w:lang w:val="fr-FR"/>
        </w:rPr>
        <w:instrText xml:space="preserve"> SET BFABE66D17116DB7DD96F4B26673B6D4 "" </w:instrText>
      </w:r>
      <w:r>
        <w:rPr>
          <w:rFonts w:ascii="Arial" w:eastAsia="Arial" w:hAnsi="Arial" w:cs="Arial"/>
          <w:sz w:val="0"/>
          <w:lang w:val="fr-FR"/>
        </w:rPr>
        <w:fldChar w:fldCharType="separate"/>
      </w:r>
      <w:bookmarkStart w:id="10" w:name="BFABE66D17116DB7DD96F4B26673B6D4"/>
      <w:bookmarkEnd w:id="10"/>
      <w:r>
        <w:rPr>
          <w:rFonts w:ascii="Arial" w:eastAsia="Arial" w:hAnsi="Arial" w:cs="Arial"/>
          <w:sz w:val="0"/>
          <w:lang w:val="fr-FR"/>
        </w:rPr>
        <w:fldChar w:fldCharType="end"/>
      </w:r>
    </w:p>
    <w:p w:rsidR="00D61EB0" w:rsidRPr="00D61EB0" w:rsidP="00D61EB0" w14:paraId="29D0CC15" w14:textId="77777777">
      <w:pPr>
        <w:jc w:val="both"/>
        <w:rPr>
          <w:rFonts w:ascii="Arial" w:hAnsi="Arial" w:cs="Arial"/>
          <w:b/>
          <w:color w:val="000000"/>
          <w:sz w:val="20"/>
          <w:szCs w:val="20"/>
          <w:lang w:val="fr-FR"/>
        </w:rPr>
      </w:pPr>
      <w:r w:rsidRPr="00D61EB0">
        <w:rPr>
          <w:rFonts w:ascii="Arial" w:hAnsi="Arial" w:cs="Arial"/>
          <w:b/>
          <w:color w:val="000000"/>
          <w:sz w:val="20"/>
          <w:szCs w:val="20"/>
          <w:lang w:val="fr-FR"/>
        </w:rPr>
        <w:t xml:space="preserve">Classification </w:t>
      </w:r>
    </w:p>
    <w:p w:rsidR="00D61EB0" w:rsidRPr="00D61EB0" w:rsidP="00D61EB0" w14:paraId="4A32001E" w14:textId="77777777">
      <w:pPr>
        <w:jc w:val="both"/>
        <w:rPr>
          <w:rFonts w:ascii="Arial" w:hAnsi="Arial" w:cs="Arial"/>
          <w:color w:val="000000"/>
          <w:sz w:val="20"/>
          <w:szCs w:val="20"/>
          <w:lang w:val="fr-FR"/>
        </w:rPr>
      </w:pPr>
      <w:r w:rsidRPr="00D61EB0">
        <w:rPr>
          <w:rFonts w:ascii="Arial" w:hAnsi="Arial" w:cs="Arial"/>
          <w:color w:val="000000"/>
          <w:sz w:val="20"/>
          <w:szCs w:val="20"/>
          <w:lang w:val="fr-FR"/>
        </w:rPr>
        <w:t>Actions internationales.</w:t>
      </w:r>
    </w:p>
    <w:p w:rsidR="00D61EB0" w:rsidRPr="00D61EB0" w:rsidP="00D61EB0" w14:paraId="7B3B6B77" w14:textId="77777777">
      <w:pPr>
        <w:jc w:val="both"/>
        <w:rPr>
          <w:rFonts w:ascii="Arial" w:hAnsi="Arial" w:cs="Arial"/>
          <w:color w:val="000000"/>
          <w:sz w:val="20"/>
          <w:szCs w:val="20"/>
          <w:lang w:val="fr-FR"/>
        </w:rPr>
      </w:pPr>
      <w:r w:rsidRPr="00D61EB0">
        <w:rPr>
          <w:rFonts w:ascii="Arial" w:hAnsi="Arial" w:cs="Arial"/>
          <w:color w:val="000000"/>
          <w:sz w:val="20"/>
          <w:szCs w:val="20"/>
          <w:lang w:val="fr-FR"/>
        </w:rPr>
        <w:t>Le Fonds est un fonds indiciel de stratégie.</w:t>
      </w:r>
    </w:p>
    <w:p w:rsidR="00D61EB0" w:rsidRPr="001E431A" w:rsidP="00D61EB0" w14:paraId="3196BC00" w14:textId="77777777">
      <w:pPr>
        <w:jc w:val="both"/>
        <w:rPr>
          <w:rFonts w:ascii="Arial" w:hAnsi="Arial" w:cs="Arial"/>
          <w:b/>
          <w:color w:val="000000"/>
          <w:sz w:val="20"/>
          <w:szCs w:val="20"/>
          <w:lang w:val="x-none"/>
        </w:rPr>
      </w:pPr>
    </w:p>
    <w:p w:rsidR="00D61EB0" w:rsidRPr="00D61EB0" w:rsidP="00D61EB0" w14:paraId="7EB72AEE" w14:textId="77777777">
      <w:pPr>
        <w:jc w:val="both"/>
        <w:rPr>
          <w:rFonts w:ascii="Arial" w:hAnsi="Arial" w:cs="Arial"/>
          <w:b/>
          <w:color w:val="000000"/>
          <w:sz w:val="20"/>
          <w:szCs w:val="20"/>
          <w:lang w:val="fr-FR"/>
        </w:rPr>
      </w:pPr>
      <w:r w:rsidRPr="00D61EB0">
        <w:rPr>
          <w:rFonts w:ascii="Arial" w:hAnsi="Arial" w:cs="Arial"/>
          <w:b/>
          <w:color w:val="000000"/>
          <w:sz w:val="20"/>
          <w:szCs w:val="20"/>
          <w:lang w:val="fr-FR"/>
        </w:rPr>
        <w:t>Modalité de détermination et d’affectation des sommes distribuables</w:t>
      </w:r>
    </w:p>
    <w:p w:rsidR="00D61EB0" w:rsidRPr="00D61EB0" w:rsidP="00D61EB0" w14:paraId="53F6F1FB" w14:textId="77777777">
      <w:pPr>
        <w:jc w:val="both"/>
        <w:rPr>
          <w:rFonts w:ascii="Arial" w:eastAsia="Arial" w:hAnsi="Arial" w:cs="Arial"/>
          <w:color w:val="000000"/>
          <w:sz w:val="20"/>
          <w:szCs w:val="20"/>
          <w:lang w:val="fr-FR"/>
        </w:rPr>
      </w:pPr>
      <w:r w:rsidRPr="00D61EB0">
        <w:rPr>
          <w:rFonts w:ascii="Arial" w:eastAsia="Arial" w:hAnsi="Arial" w:cs="Arial"/>
          <w:color w:val="000000"/>
          <w:sz w:val="20"/>
          <w:szCs w:val="20"/>
          <w:lang w:val="fr-FR"/>
        </w:rPr>
        <w:t>Capitalisation et/ou distribution par décision de la Société de Gestion.</w:t>
      </w:r>
    </w:p>
    <w:p w:rsidR="00D61EB0" w:rsidRPr="00D61EB0" w:rsidP="00D61EB0" w14:paraId="43AE1E66" w14:textId="77777777">
      <w:pPr>
        <w:jc w:val="both"/>
        <w:rPr>
          <w:rFonts w:ascii="Arial" w:eastAsia="Arial" w:hAnsi="Arial" w:cs="Arial"/>
          <w:color w:val="000000"/>
          <w:sz w:val="20"/>
          <w:szCs w:val="20"/>
          <w:lang w:val="fr-FR"/>
        </w:rPr>
      </w:pPr>
    </w:p>
    <w:p w:rsidR="00D61EB0" w:rsidRPr="00D61EB0" w:rsidP="00D61EB0" w14:paraId="09D0FE55" w14:textId="77777777">
      <w:pPr>
        <w:jc w:val="both"/>
        <w:rPr>
          <w:rFonts w:ascii="Arial" w:hAnsi="Arial" w:cs="Arial"/>
          <w:b/>
          <w:color w:val="000000"/>
          <w:sz w:val="20"/>
          <w:szCs w:val="20"/>
          <w:lang w:val="fr-FR"/>
        </w:rPr>
      </w:pPr>
      <w:r w:rsidRPr="00D61EB0">
        <w:rPr>
          <w:rFonts w:ascii="Arial" w:hAnsi="Arial" w:cs="Arial"/>
          <w:b/>
          <w:color w:val="000000"/>
          <w:sz w:val="20"/>
          <w:szCs w:val="20"/>
          <w:lang w:val="fr-FR"/>
        </w:rPr>
        <w:t>Régime fiscal</w:t>
      </w:r>
    </w:p>
    <w:p w:rsidR="00D61EB0" w:rsidRPr="001E431A" w:rsidP="00D61EB0" w14:paraId="31B9BD19" w14:textId="77777777">
      <w:pPr>
        <w:autoSpaceDE w:val="0"/>
        <w:autoSpaceDN w:val="0"/>
        <w:adjustRightInd w:val="0"/>
        <w:snapToGrid w:val="0"/>
        <w:jc w:val="both"/>
        <w:rPr>
          <w:rFonts w:ascii="Arial" w:eastAsia="Times New Roman" w:hAnsi="Arial" w:cs="Arial"/>
          <w:color w:val="000000"/>
          <w:sz w:val="20"/>
          <w:lang w:val="x-none" w:eastAsia="fr-FR"/>
        </w:rPr>
      </w:pPr>
      <w:r w:rsidRPr="001E431A">
        <w:rPr>
          <w:rFonts w:ascii="Arial" w:eastAsia="Times New Roman" w:hAnsi="Arial" w:cs="Arial"/>
          <w:color w:val="000000"/>
          <w:sz w:val="20"/>
          <w:lang w:val="x-none" w:eastAsia="fr-FR"/>
        </w:rPr>
        <w:t>Le Fonds est éligible au contrat d'assurance vie. Le Fonds pourra donc servir de support de contrat</w:t>
      </w:r>
      <w:r w:rsidRPr="00D61EB0">
        <w:rPr>
          <w:rFonts w:ascii="Arial" w:eastAsia="Times New Roman" w:hAnsi="Arial" w:cs="Arial"/>
          <w:color w:val="000000"/>
          <w:sz w:val="20"/>
          <w:lang w:val="fr-FR" w:eastAsia="fr-FR"/>
        </w:rPr>
        <w:t xml:space="preserve"> </w:t>
      </w:r>
      <w:r w:rsidRPr="001E431A">
        <w:rPr>
          <w:rFonts w:ascii="Arial" w:eastAsia="Times New Roman" w:hAnsi="Arial" w:cs="Arial"/>
          <w:color w:val="000000"/>
          <w:sz w:val="20"/>
          <w:lang w:val="x-none" w:eastAsia="fr-FR"/>
        </w:rPr>
        <w:t>d’assurance vie libellé en unités de compte.</w:t>
      </w:r>
    </w:p>
    <w:p w:rsidR="00D61EB0" w:rsidRPr="001E431A" w:rsidP="00D61EB0" w14:paraId="3D984717" w14:textId="77777777">
      <w:pPr>
        <w:jc w:val="both"/>
        <w:textAlignment w:val="baseline"/>
        <w:rPr>
          <w:rFonts w:ascii="Arial" w:eastAsia="Arial" w:hAnsi="Arial" w:cs="Arial"/>
          <w:color w:val="000000"/>
          <w:spacing w:val="-1"/>
          <w:sz w:val="20"/>
          <w:szCs w:val="20"/>
          <w:lang w:val="x-none"/>
        </w:rPr>
      </w:pPr>
    </w:p>
    <w:p w:rsidR="00D61EB0" w:rsidRPr="001E431A" w:rsidP="00D61EB0" w14:paraId="15EC237C" w14:textId="77777777">
      <w:pPr>
        <w:jc w:val="both"/>
        <w:textAlignment w:val="baseline"/>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L'OPCVM en tant que tel n'est pas sujet à imposition. Toutefois, les porteurs peuvent supporter des impositions</w:t>
      </w:r>
      <w:r w:rsidRPr="00D61EB0">
        <w:rPr>
          <w:rFonts w:ascii="Arial" w:eastAsia="Arial" w:hAnsi="Arial" w:cs="Arial"/>
          <w:color w:val="000000"/>
          <w:spacing w:val="-1"/>
          <w:sz w:val="20"/>
          <w:szCs w:val="20"/>
          <w:lang w:val="fr-FR"/>
        </w:rPr>
        <w:t xml:space="preserve"> </w:t>
      </w:r>
      <w:r w:rsidRPr="001E431A">
        <w:rPr>
          <w:rFonts w:ascii="Arial" w:eastAsia="Arial" w:hAnsi="Arial" w:cs="Arial"/>
          <w:color w:val="000000"/>
          <w:spacing w:val="-1"/>
          <w:sz w:val="20"/>
          <w:szCs w:val="20"/>
          <w:lang w:val="x-none"/>
        </w:rPr>
        <w:t>du fait des revenus distribués par l'OPCVM, le cas échéant, ou lorsqu'ils cèderont les titres de celui-ci. Le</w:t>
      </w:r>
      <w:r w:rsidRPr="00D61EB0">
        <w:rPr>
          <w:rFonts w:ascii="Arial" w:eastAsia="Arial" w:hAnsi="Arial" w:cs="Arial"/>
          <w:color w:val="000000"/>
          <w:spacing w:val="-1"/>
          <w:sz w:val="20"/>
          <w:szCs w:val="20"/>
          <w:lang w:val="fr-FR"/>
        </w:rPr>
        <w:t xml:space="preserve"> </w:t>
      </w:r>
      <w:r w:rsidRPr="001E431A">
        <w:rPr>
          <w:rFonts w:ascii="Arial" w:eastAsia="Arial" w:hAnsi="Arial" w:cs="Arial"/>
          <w:color w:val="000000"/>
          <w:spacing w:val="-1"/>
          <w:sz w:val="20"/>
          <w:szCs w:val="20"/>
          <w:lang w:val="x-none"/>
        </w:rPr>
        <w:t>régime fiscal applicable aux sommes distribuées par l'OPCVM ou aux plus ou moins</w:t>
      </w:r>
      <w:r w:rsidRPr="00D61EB0">
        <w:rPr>
          <w:rFonts w:ascii="Arial" w:eastAsia="Arial" w:hAnsi="Arial" w:cs="Arial"/>
          <w:color w:val="000000"/>
          <w:spacing w:val="-1"/>
          <w:sz w:val="20"/>
          <w:szCs w:val="20"/>
          <w:lang w:val="fr-FR"/>
        </w:rPr>
        <w:t>-</w:t>
      </w:r>
      <w:r w:rsidRPr="001E431A">
        <w:rPr>
          <w:rFonts w:ascii="Arial" w:eastAsia="Arial" w:hAnsi="Arial" w:cs="Arial"/>
          <w:color w:val="000000"/>
          <w:spacing w:val="-1"/>
          <w:sz w:val="20"/>
          <w:szCs w:val="20"/>
          <w:lang w:val="x-none"/>
        </w:rPr>
        <w:t>values latentes ou</w:t>
      </w:r>
      <w:r w:rsidRPr="00D61EB0">
        <w:rPr>
          <w:rFonts w:ascii="Arial" w:eastAsia="Arial" w:hAnsi="Arial" w:cs="Arial"/>
          <w:color w:val="000000"/>
          <w:spacing w:val="-1"/>
          <w:sz w:val="20"/>
          <w:szCs w:val="20"/>
          <w:lang w:val="fr-FR"/>
        </w:rPr>
        <w:t xml:space="preserve"> </w:t>
      </w:r>
      <w:r w:rsidRPr="001E431A">
        <w:rPr>
          <w:rFonts w:ascii="Arial" w:eastAsia="Arial" w:hAnsi="Arial" w:cs="Arial"/>
          <w:color w:val="000000"/>
          <w:spacing w:val="-1"/>
          <w:sz w:val="20"/>
          <w:szCs w:val="20"/>
          <w:lang w:val="x-none"/>
        </w:rPr>
        <w:t>réalisées par l'OPCVM dépend des dispositions fiscales applicables à la situation particulière de l'investisseur,</w:t>
      </w:r>
      <w:r w:rsidRPr="00D61EB0">
        <w:rPr>
          <w:rFonts w:ascii="Arial" w:eastAsia="Arial" w:hAnsi="Arial" w:cs="Arial"/>
          <w:color w:val="000000"/>
          <w:spacing w:val="-1"/>
          <w:sz w:val="20"/>
          <w:szCs w:val="20"/>
          <w:lang w:val="fr-FR"/>
        </w:rPr>
        <w:t xml:space="preserve"> </w:t>
      </w:r>
      <w:r w:rsidRPr="001E431A">
        <w:rPr>
          <w:rFonts w:ascii="Arial" w:eastAsia="Arial" w:hAnsi="Arial" w:cs="Arial"/>
          <w:color w:val="000000"/>
          <w:spacing w:val="-1"/>
          <w:sz w:val="20"/>
          <w:szCs w:val="20"/>
          <w:lang w:val="x-none"/>
        </w:rPr>
        <w:t>de sa résidence fiscale et/ou de la juridiction d'investissement de l'OPCVM. Si l'investisseur n'est pas sûr de sa</w:t>
      </w:r>
      <w:r w:rsidRPr="00D61EB0">
        <w:rPr>
          <w:rFonts w:ascii="Arial" w:eastAsia="Arial" w:hAnsi="Arial" w:cs="Arial"/>
          <w:color w:val="000000"/>
          <w:spacing w:val="-1"/>
          <w:sz w:val="20"/>
          <w:szCs w:val="20"/>
          <w:lang w:val="fr-FR"/>
        </w:rPr>
        <w:t xml:space="preserve"> </w:t>
      </w:r>
      <w:r w:rsidRPr="001E431A">
        <w:rPr>
          <w:rFonts w:ascii="Arial" w:eastAsia="Arial" w:hAnsi="Arial" w:cs="Arial"/>
          <w:color w:val="000000"/>
          <w:spacing w:val="-1"/>
          <w:sz w:val="20"/>
          <w:szCs w:val="20"/>
          <w:lang w:val="x-none"/>
        </w:rPr>
        <w:t>situation fiscale, il doit s'adresser à un conseiller fiscal ou un professionnel afin de déterminer les règles fiscales</w:t>
      </w:r>
      <w:r w:rsidRPr="00D61EB0">
        <w:rPr>
          <w:rFonts w:ascii="Arial" w:eastAsia="Arial" w:hAnsi="Arial" w:cs="Arial"/>
          <w:color w:val="000000"/>
          <w:spacing w:val="-1"/>
          <w:sz w:val="20"/>
          <w:szCs w:val="20"/>
          <w:lang w:val="fr-FR"/>
        </w:rPr>
        <w:t xml:space="preserve"> </w:t>
      </w:r>
      <w:r w:rsidRPr="001E431A">
        <w:rPr>
          <w:rFonts w:ascii="Arial" w:eastAsia="Arial" w:hAnsi="Arial" w:cs="Arial"/>
          <w:color w:val="000000"/>
          <w:spacing w:val="-1"/>
          <w:sz w:val="20"/>
          <w:szCs w:val="20"/>
          <w:lang w:val="x-none"/>
        </w:rPr>
        <w:t>applicables à sa situation particulière, avant tout investissement. Certains revenus distribués par l'OPCVM à</w:t>
      </w:r>
      <w:r w:rsidRPr="00D61EB0">
        <w:rPr>
          <w:rFonts w:ascii="Arial" w:eastAsia="Arial" w:hAnsi="Arial" w:cs="Arial"/>
          <w:color w:val="000000"/>
          <w:spacing w:val="-1"/>
          <w:sz w:val="20"/>
          <w:szCs w:val="20"/>
          <w:lang w:val="fr-FR"/>
        </w:rPr>
        <w:t xml:space="preserve"> </w:t>
      </w:r>
      <w:r w:rsidRPr="001E431A">
        <w:rPr>
          <w:rFonts w:ascii="Arial" w:eastAsia="Arial" w:hAnsi="Arial" w:cs="Arial"/>
          <w:color w:val="000000"/>
          <w:spacing w:val="-1"/>
          <w:sz w:val="20"/>
          <w:szCs w:val="20"/>
          <w:lang w:val="x-none"/>
        </w:rPr>
        <w:t>des non-résidents en France sont susceptibles de supporter dans cet Etat une retenue à la source.</w:t>
      </w:r>
    </w:p>
    <w:p w:rsidR="00D61EB0" w:rsidRPr="001E431A" w:rsidP="00D61EB0" w14:paraId="1F1A15A1" w14:textId="77777777">
      <w:pPr>
        <w:jc w:val="both"/>
        <w:textAlignment w:val="baseline"/>
        <w:rPr>
          <w:rFonts w:ascii="Arial" w:eastAsia="Arial" w:hAnsi="Arial" w:cs="Arial"/>
          <w:color w:val="000000"/>
          <w:spacing w:val="-1"/>
          <w:sz w:val="20"/>
          <w:szCs w:val="20"/>
          <w:lang w:val="x-none"/>
        </w:rPr>
      </w:pPr>
    </w:p>
    <w:p w:rsidR="00D61EB0" w:rsidRPr="00D61EB0" w:rsidP="00D61EB0" w14:paraId="46BC8333" w14:textId="77777777">
      <w:pPr>
        <w:jc w:val="both"/>
        <w:rPr>
          <w:rFonts w:ascii="Arial" w:hAnsi="Arial" w:cs="Arial"/>
          <w:b/>
          <w:color w:val="000000"/>
          <w:sz w:val="20"/>
          <w:szCs w:val="20"/>
          <w:lang w:val="fr-FR"/>
        </w:rPr>
      </w:pPr>
      <w:r w:rsidRPr="00D61EB0">
        <w:rPr>
          <w:rFonts w:ascii="Arial" w:hAnsi="Arial" w:cs="Arial"/>
          <w:b/>
          <w:color w:val="000000"/>
          <w:sz w:val="20"/>
          <w:szCs w:val="20"/>
          <w:lang w:val="fr-FR"/>
        </w:rPr>
        <w:t>Indicateur de référence</w:t>
      </w:r>
    </w:p>
    <w:p w:rsidR="00D61EB0" w:rsidRPr="001E431A" w:rsidP="00D61EB0" w14:paraId="490220D5" w14:textId="77777777">
      <w:pPr>
        <w:pStyle w:val="BodyText"/>
        <w:tabs>
          <w:tab w:val="left" w:pos="284"/>
        </w:tabs>
        <w:ind w:left="0" w:right="138"/>
        <w:jc w:val="both"/>
        <w:rPr>
          <w:rFonts w:cs="Arial"/>
          <w:color w:val="000000"/>
          <w:spacing w:val="-1"/>
          <w:lang w:val="x-none"/>
        </w:rPr>
      </w:pPr>
      <w:r w:rsidRPr="001E431A">
        <w:rPr>
          <w:rFonts w:cs="Arial"/>
          <w:color w:val="000000"/>
          <w:spacing w:val="-1"/>
          <w:lang w:val="fr-FR"/>
        </w:rPr>
        <w:t xml:space="preserve">L’indicateur de Référence du Fonds est l’Indice MSCI World </w:t>
      </w:r>
      <w:r w:rsidRPr="001E431A">
        <w:rPr>
          <w:rFonts w:cs="Arial"/>
          <w:color w:val="000000"/>
          <w:spacing w:val="-1"/>
          <w:lang w:val="fr-FR"/>
        </w:rPr>
        <w:t>Climate</w:t>
      </w:r>
      <w:r w:rsidRPr="001E431A">
        <w:rPr>
          <w:rFonts w:cs="Arial"/>
          <w:color w:val="000000"/>
          <w:spacing w:val="-1"/>
          <w:lang w:val="fr-FR"/>
        </w:rPr>
        <w:t xml:space="preserve"> Change Paris </w:t>
      </w:r>
      <w:r w:rsidRPr="001E431A">
        <w:rPr>
          <w:rFonts w:cs="Arial"/>
          <w:color w:val="000000"/>
          <w:spacing w:val="-1"/>
          <w:lang w:val="fr-FR"/>
        </w:rPr>
        <w:t>Aligned</w:t>
      </w:r>
      <w:r w:rsidRPr="001E431A">
        <w:rPr>
          <w:rFonts w:cs="Arial"/>
          <w:color w:val="000000"/>
          <w:spacing w:val="-1"/>
          <w:lang w:val="fr-FR"/>
        </w:rPr>
        <w:t xml:space="preserve"> Low Carbon Select Net USD Index, dividendes nets réinvestis (net total return), libellé en dollars américains.</w:t>
      </w:r>
    </w:p>
    <w:p w:rsidR="00D61EB0" w:rsidRPr="001E431A" w:rsidP="00D61EB0" w14:paraId="71B25508" w14:textId="77777777">
      <w:pPr>
        <w:tabs>
          <w:tab w:val="left" w:pos="284"/>
        </w:tabs>
        <w:rPr>
          <w:rFonts w:ascii="Arial" w:eastAsia="Arial" w:hAnsi="Arial" w:cs="Arial"/>
          <w:color w:val="000000"/>
          <w:spacing w:val="-1"/>
          <w:sz w:val="20"/>
          <w:szCs w:val="20"/>
          <w:lang w:val="x-none"/>
        </w:rPr>
      </w:pPr>
    </w:p>
    <w:p w:rsidR="00D61EB0" w:rsidRPr="001E431A" w:rsidP="00D61EB0" w14:paraId="617502F3" w14:textId="77777777">
      <w:pPr>
        <w:pStyle w:val="BodyText"/>
        <w:tabs>
          <w:tab w:val="left" w:pos="284"/>
        </w:tabs>
        <w:ind w:left="0" w:right="138"/>
        <w:jc w:val="both"/>
        <w:rPr>
          <w:rFonts w:cs="Arial"/>
          <w:color w:val="000000"/>
          <w:spacing w:val="-1"/>
          <w:lang w:val="x-none"/>
        </w:rPr>
      </w:pPr>
      <w:r w:rsidRPr="001E431A">
        <w:rPr>
          <w:rFonts w:cs="Arial"/>
          <w:color w:val="000000"/>
          <w:spacing w:val="-1"/>
          <w:lang w:val="fr-FR"/>
        </w:rPr>
        <w:t>L’Indicateur de Référence est un indice actions publié et calculé par le fournisseur d'indice international MSCI ("MSCI").</w:t>
      </w:r>
      <w:r w:rsidRPr="001E431A">
        <w:rPr>
          <w:rFonts w:cs="Arial"/>
          <w:color w:val="000000"/>
          <w:spacing w:val="-1"/>
          <w:lang w:val="x-none"/>
        </w:rPr>
        <w:t xml:space="preserve"> </w:t>
      </w:r>
    </w:p>
    <w:p w:rsidR="00D61EB0" w:rsidRPr="001E431A" w:rsidP="00D61EB0" w14:paraId="60FF059C" w14:textId="77777777">
      <w:pPr>
        <w:pStyle w:val="BodyText"/>
        <w:tabs>
          <w:tab w:val="left" w:pos="284"/>
        </w:tabs>
        <w:ind w:left="0" w:right="138"/>
        <w:jc w:val="both"/>
        <w:rPr>
          <w:rFonts w:cs="Arial"/>
          <w:color w:val="000000"/>
          <w:spacing w:val="-1"/>
          <w:lang w:val="x-none"/>
        </w:rPr>
      </w:pPr>
    </w:p>
    <w:p w:rsidR="00D61EB0" w:rsidRPr="001E431A" w:rsidP="00D61EB0" w14:paraId="328709A4" w14:textId="77777777">
      <w:pPr>
        <w:pStyle w:val="BodyText"/>
        <w:tabs>
          <w:tab w:val="left" w:pos="284"/>
        </w:tabs>
        <w:ind w:left="0" w:right="138"/>
        <w:jc w:val="both"/>
        <w:rPr>
          <w:rFonts w:cs="Arial"/>
          <w:color w:val="000000"/>
          <w:spacing w:val="-1"/>
          <w:lang w:val="x-none"/>
        </w:rPr>
      </w:pPr>
      <w:r w:rsidRPr="001E431A">
        <w:rPr>
          <w:rFonts w:cs="Arial"/>
          <w:color w:val="000000"/>
          <w:spacing w:val="-1"/>
          <w:lang w:val="x-none"/>
        </w:rPr>
        <w:t xml:space="preserve">Les actions entrant dans la composition de l’Indice sont issues de l’univers des moyennes et grandes capitalisations des pays développés selon la classification MSCI. L’indice est par ailleurs restreint aux actions classifiées dans les pays de l’OCDE. L’indice est construit de sorte à surpondérer les sociétés présentant le meilleur profil vis-à-vis du risque de transition climatique. </w:t>
      </w:r>
    </w:p>
    <w:p w:rsidR="00D61EB0" w:rsidRPr="001E431A" w:rsidP="00D61EB0" w14:paraId="01899580" w14:textId="77777777">
      <w:pPr>
        <w:pStyle w:val="BodyText"/>
        <w:tabs>
          <w:tab w:val="left" w:pos="284"/>
        </w:tabs>
        <w:ind w:left="0" w:right="138"/>
        <w:jc w:val="both"/>
        <w:rPr>
          <w:rFonts w:cs="Arial"/>
          <w:color w:val="000000"/>
          <w:spacing w:val="-1"/>
          <w:lang w:val="x-none"/>
        </w:rPr>
      </w:pPr>
    </w:p>
    <w:p w:rsidR="00D61EB0" w:rsidRPr="001E431A" w:rsidP="00D61EB0" w14:paraId="1638F677" w14:textId="77777777">
      <w:pPr>
        <w:pStyle w:val="BodyText"/>
        <w:tabs>
          <w:tab w:val="left" w:pos="284"/>
        </w:tabs>
        <w:ind w:left="0" w:right="138"/>
        <w:jc w:val="both"/>
        <w:rPr>
          <w:rFonts w:cs="Arial"/>
          <w:color w:val="000000"/>
          <w:spacing w:val="-1"/>
          <w:lang w:val="x-none"/>
        </w:rPr>
      </w:pPr>
      <w:r w:rsidRPr="001E431A">
        <w:rPr>
          <w:rFonts w:cs="Arial"/>
          <w:color w:val="000000"/>
          <w:spacing w:val="-1"/>
          <w:lang w:val="x-none"/>
        </w:rPr>
        <w:t>L’indice est par ailleurs construit de sorte à être indice de référence «accord de Paris» de l’Union Européenne au sens du règlement (UE) 2019/2089 du parlement européen.</w:t>
      </w:r>
    </w:p>
    <w:p w:rsidR="00D61EB0" w:rsidRPr="001E431A" w:rsidP="00D61EB0" w14:paraId="2253F818" w14:textId="77777777">
      <w:pPr>
        <w:tabs>
          <w:tab w:val="left" w:pos="284"/>
        </w:tabs>
        <w:rPr>
          <w:rFonts w:ascii="Arial" w:eastAsia="Arial" w:hAnsi="Arial" w:cs="Arial"/>
          <w:color w:val="000000"/>
          <w:spacing w:val="-1"/>
          <w:sz w:val="20"/>
          <w:szCs w:val="20"/>
          <w:lang w:val="x-none"/>
        </w:rPr>
      </w:pPr>
    </w:p>
    <w:p w:rsidR="00D61EB0" w:rsidRPr="00D61EB0" w:rsidP="00D61EB0" w14:paraId="0A616CED" w14:textId="77777777">
      <w:pPr>
        <w:jc w:val="both"/>
        <w:rPr>
          <w:rFonts w:ascii="Arial" w:hAnsi="Arial" w:cs="Arial"/>
          <w:b/>
          <w:color w:val="000000"/>
          <w:sz w:val="20"/>
          <w:szCs w:val="20"/>
          <w:lang w:val="fr-FR"/>
        </w:rPr>
      </w:pPr>
      <w:r w:rsidRPr="00D61EB0">
        <w:rPr>
          <w:rFonts w:ascii="Arial" w:hAnsi="Arial" w:cs="Arial"/>
          <w:b/>
          <w:color w:val="000000"/>
          <w:sz w:val="20"/>
          <w:szCs w:val="20"/>
          <w:lang w:val="fr-FR"/>
        </w:rPr>
        <w:t>Frais et commissions de gestion</w:t>
      </w:r>
    </w:p>
    <w:p w:rsidR="00D61EB0" w:rsidRPr="00D61EB0" w:rsidP="00D61EB0" w14:paraId="569C84C5" w14:textId="77777777">
      <w:pPr>
        <w:jc w:val="both"/>
        <w:rPr>
          <w:rFonts w:ascii="Arial" w:hAnsi="Arial" w:cs="Arial"/>
          <w:color w:val="000000"/>
          <w:sz w:val="20"/>
          <w:szCs w:val="20"/>
          <w:lang w:val="fr-FR"/>
        </w:rPr>
      </w:pPr>
      <w:r w:rsidRPr="00D61EB0">
        <w:rPr>
          <w:rFonts w:ascii="Arial" w:hAnsi="Arial" w:cs="Arial"/>
          <w:color w:val="000000"/>
          <w:sz w:val="20"/>
          <w:szCs w:val="20"/>
          <w:lang w:val="fr-FR"/>
        </w:rPr>
        <w:t>Frais de fonctionnement et de gestion : 0,25% TTC.</w:t>
      </w:r>
    </w:p>
    <w:p w:rsidR="00D61EB0" w:rsidRPr="00D61EB0" w:rsidP="00D61EB0" w14:paraId="4D9E5265" w14:textId="77777777">
      <w:pPr>
        <w:jc w:val="both"/>
        <w:rPr>
          <w:rFonts w:ascii="Arial" w:hAnsi="Arial" w:cs="Arial"/>
          <w:color w:val="000000"/>
          <w:sz w:val="20"/>
          <w:szCs w:val="20"/>
          <w:lang w:val="fr-FR"/>
        </w:rPr>
      </w:pPr>
      <w:r w:rsidRPr="00D61EB0">
        <w:rPr>
          <w:rFonts w:ascii="Arial" w:hAnsi="Arial" w:cs="Arial"/>
          <w:color w:val="000000"/>
          <w:sz w:val="20"/>
          <w:szCs w:val="20"/>
          <w:lang w:val="fr-FR"/>
        </w:rPr>
        <w:t>Commission de souscription acquise au Fonds : 1%.</w:t>
      </w:r>
    </w:p>
    <w:p w:rsidR="00D61EB0" w:rsidRPr="00D61EB0" w:rsidP="00D61EB0" w14:paraId="4DCBC029" w14:textId="77777777">
      <w:pPr>
        <w:jc w:val="both"/>
        <w:rPr>
          <w:rFonts w:ascii="Arial" w:hAnsi="Arial" w:cs="Arial"/>
          <w:color w:val="000000"/>
          <w:sz w:val="20"/>
          <w:szCs w:val="20"/>
          <w:lang w:val="fr-FR"/>
        </w:rPr>
      </w:pPr>
      <w:r w:rsidRPr="00D61EB0">
        <w:rPr>
          <w:rFonts w:ascii="Arial" w:hAnsi="Arial" w:cs="Arial"/>
          <w:color w:val="000000"/>
          <w:sz w:val="20"/>
          <w:szCs w:val="20"/>
          <w:lang w:val="fr-FR"/>
        </w:rPr>
        <w:t>Conformément à la réglementation et au cours de l'exercice écoulé, cet OPCVM a présenté en pratique des taux conformes à ceux mentionnés dans le prospectus et repris les rubriques :</w:t>
      </w:r>
    </w:p>
    <w:p w:rsidR="00D61EB0" w:rsidRPr="00D61EB0" w:rsidP="00D61EB0" w14:paraId="1C97CC13" w14:textId="77777777">
      <w:pPr>
        <w:jc w:val="both"/>
        <w:rPr>
          <w:rFonts w:ascii="Arial" w:hAnsi="Arial" w:cs="Arial"/>
          <w:color w:val="000000"/>
          <w:sz w:val="20"/>
          <w:szCs w:val="20"/>
          <w:lang w:val="fr-FR"/>
        </w:rPr>
      </w:pPr>
      <w:r w:rsidRPr="00D61EB0">
        <w:rPr>
          <w:rFonts w:ascii="Arial" w:hAnsi="Arial" w:cs="Arial"/>
          <w:color w:val="000000"/>
          <w:sz w:val="20"/>
          <w:szCs w:val="20"/>
          <w:lang w:val="fr-FR"/>
        </w:rPr>
        <w:t>- Annexes aux comptes annuels/- Frais de Gestion.</w:t>
      </w:r>
    </w:p>
    <w:p w:rsidR="00D61EB0" w:rsidRPr="00D61EB0" w:rsidP="00D61EB0" w14:paraId="067CACF4" w14:textId="77777777">
      <w:pPr>
        <w:jc w:val="both"/>
        <w:rPr>
          <w:rFonts w:ascii="Arial" w:hAnsi="Arial" w:cs="Arial"/>
          <w:color w:val="000000"/>
          <w:sz w:val="20"/>
          <w:szCs w:val="20"/>
          <w:lang w:val="fr-FR"/>
        </w:rPr>
      </w:pPr>
      <w:r w:rsidRPr="00D61EB0">
        <w:rPr>
          <w:rFonts w:ascii="Arial" w:hAnsi="Arial" w:cs="Arial"/>
          <w:color w:val="000000"/>
          <w:sz w:val="20"/>
          <w:szCs w:val="20"/>
          <w:lang w:val="fr-FR"/>
        </w:rPr>
        <w:t>- Capitaux propres/- Commissions de souscription et/ou rachat/- Frais de Gestion.</w:t>
      </w:r>
    </w:p>
    <w:p w:rsidR="00D61EB0" w:rsidRPr="00D61EB0" w:rsidP="00D61EB0" w14:paraId="7803BB05" w14:textId="77777777">
      <w:pPr>
        <w:jc w:val="both"/>
        <w:rPr>
          <w:rFonts w:ascii="Arial" w:hAnsi="Arial" w:cs="Arial"/>
          <w:color w:val="000000"/>
          <w:sz w:val="20"/>
          <w:szCs w:val="20"/>
          <w:lang w:val="fr-FR"/>
        </w:rPr>
      </w:pPr>
    </w:p>
    <w:p w:rsidR="00D61EB0" w:rsidRPr="00D61EB0" w:rsidP="00D61EB0" w14:paraId="422A995D" w14:textId="77777777">
      <w:pPr>
        <w:jc w:val="both"/>
        <w:rPr>
          <w:rFonts w:ascii="Arial" w:hAnsi="Arial" w:cs="Arial"/>
          <w:b/>
          <w:color w:val="000000"/>
          <w:sz w:val="20"/>
          <w:szCs w:val="20"/>
          <w:lang w:val="fr-FR"/>
        </w:rPr>
      </w:pPr>
      <w:r w:rsidRPr="00D61EB0">
        <w:rPr>
          <w:rFonts w:ascii="Arial" w:hAnsi="Arial" w:cs="Arial"/>
          <w:b/>
          <w:color w:val="000000"/>
          <w:sz w:val="20"/>
          <w:szCs w:val="20"/>
          <w:lang w:val="fr-FR"/>
        </w:rPr>
        <w:t>Objectif de gestion</w:t>
      </w:r>
    </w:p>
    <w:p w:rsidR="00D61EB0" w:rsidRPr="001E431A" w:rsidP="00D61EB0" w14:paraId="774A6A03" w14:textId="77777777">
      <w:pPr>
        <w:pStyle w:val="BodyText"/>
        <w:tabs>
          <w:tab w:val="left" w:pos="284"/>
        </w:tabs>
        <w:ind w:left="0" w:right="138"/>
        <w:jc w:val="both"/>
        <w:rPr>
          <w:rFonts w:cs="Arial"/>
          <w:color w:val="000000"/>
          <w:spacing w:val="-1"/>
          <w:lang w:val="x-none"/>
        </w:rPr>
      </w:pPr>
      <w:r w:rsidRPr="001E431A">
        <w:rPr>
          <w:rFonts w:cs="Arial"/>
          <w:color w:val="000000"/>
          <w:spacing w:val="-1"/>
          <w:lang w:val="x-none"/>
        </w:rPr>
        <w:t xml:space="preserve">L’objectif de gestion du Fonds est de répliquer, le plus fidèlement possible, la performance de l’Indice de stratégie MSCI World </w:t>
      </w:r>
      <w:r w:rsidRPr="001E431A">
        <w:rPr>
          <w:rFonts w:cs="Arial"/>
          <w:color w:val="000000"/>
          <w:spacing w:val="-1"/>
          <w:lang w:val="x-none"/>
        </w:rPr>
        <w:t>Climate</w:t>
      </w:r>
      <w:r w:rsidRPr="001E431A">
        <w:rPr>
          <w:rFonts w:cs="Arial"/>
          <w:color w:val="000000"/>
          <w:spacing w:val="-1"/>
          <w:lang w:val="x-none"/>
        </w:rPr>
        <w:t xml:space="preserve"> Change Paris </w:t>
      </w:r>
      <w:r w:rsidRPr="001E431A">
        <w:rPr>
          <w:rFonts w:cs="Arial"/>
          <w:color w:val="000000"/>
          <w:spacing w:val="-1"/>
          <w:lang w:val="x-none"/>
        </w:rPr>
        <w:t>Aligned</w:t>
      </w:r>
      <w:r w:rsidRPr="001E431A">
        <w:rPr>
          <w:rFonts w:cs="Arial"/>
          <w:color w:val="000000"/>
          <w:spacing w:val="-1"/>
          <w:lang w:val="x-none"/>
        </w:rPr>
        <w:t xml:space="preserve"> Low Carbon Select net USD Index (cf. section « Indicateur de Référence »), quelle que soit son évolution, positive ou négative.</w:t>
      </w:r>
    </w:p>
    <w:p w:rsidR="00D61EB0" w:rsidRPr="001E431A" w:rsidP="00D61EB0" w14:paraId="7CD1DE23" w14:textId="77777777">
      <w:pPr>
        <w:pStyle w:val="BodyText"/>
        <w:tabs>
          <w:tab w:val="left" w:pos="284"/>
        </w:tabs>
        <w:ind w:left="0" w:right="138"/>
        <w:jc w:val="both"/>
        <w:rPr>
          <w:rFonts w:cs="Arial"/>
          <w:color w:val="000000"/>
          <w:spacing w:val="-1"/>
          <w:lang w:val="x-none"/>
        </w:rPr>
      </w:pPr>
    </w:p>
    <w:p w:rsidR="00D61EB0" w:rsidRPr="001E431A" w:rsidP="00D61EB0" w14:paraId="1A43D808" w14:textId="77777777">
      <w:pPr>
        <w:pStyle w:val="BodyText"/>
        <w:tabs>
          <w:tab w:val="left" w:pos="284"/>
        </w:tabs>
        <w:ind w:left="0" w:right="138"/>
        <w:jc w:val="both"/>
        <w:rPr>
          <w:rFonts w:cs="Arial"/>
          <w:color w:val="000000"/>
          <w:spacing w:val="-1"/>
          <w:lang w:val="fr-FR"/>
        </w:rPr>
      </w:pPr>
      <w:r w:rsidRPr="001E431A">
        <w:rPr>
          <w:rFonts w:cs="Arial"/>
          <w:color w:val="000000"/>
          <w:spacing w:val="-1"/>
          <w:lang w:val="fr-FR"/>
        </w:rPr>
        <w:t xml:space="preserve">La gestion vise à obtenir un écart entre l'évolution de la valeur liquidative du Fonds et celle de l’Indicateur de Référence le plus faible possible. </w:t>
      </w:r>
    </w:p>
    <w:p w:rsidR="00D61EB0" w:rsidRPr="001E431A" w:rsidP="00D61EB0" w14:paraId="37C3735D" w14:textId="77777777">
      <w:pPr>
        <w:pStyle w:val="BodyText"/>
        <w:tabs>
          <w:tab w:val="left" w:pos="284"/>
        </w:tabs>
        <w:ind w:left="0" w:right="138"/>
        <w:jc w:val="both"/>
        <w:rPr>
          <w:rFonts w:cs="Arial"/>
          <w:color w:val="000000"/>
          <w:spacing w:val="-1"/>
          <w:lang w:val="fr-FR"/>
        </w:rPr>
      </w:pPr>
    </w:p>
    <w:p w:rsidR="00D61EB0" w:rsidRPr="001E431A" w:rsidP="00D61EB0" w14:paraId="602D830F" w14:textId="77777777">
      <w:pPr>
        <w:pStyle w:val="BodyText"/>
        <w:tabs>
          <w:tab w:val="left" w:pos="284"/>
        </w:tabs>
        <w:ind w:left="0" w:right="138"/>
        <w:jc w:val="both"/>
        <w:rPr>
          <w:rFonts w:cs="Arial"/>
          <w:color w:val="000000"/>
          <w:spacing w:val="-1"/>
          <w:lang w:val="fr-FR"/>
        </w:rPr>
      </w:pPr>
      <w:r w:rsidRPr="001E431A">
        <w:rPr>
          <w:rFonts w:cs="Arial"/>
          <w:color w:val="000000"/>
          <w:spacing w:val="-1"/>
          <w:lang w:val="fr-FR"/>
        </w:rPr>
        <w:t xml:space="preserve">Ainsi, l’objectif d’écart de suivi (« </w:t>
      </w:r>
      <w:r w:rsidRPr="001E431A">
        <w:rPr>
          <w:rFonts w:cs="Arial"/>
          <w:color w:val="000000"/>
          <w:spacing w:val="-1"/>
          <w:lang w:val="fr-FR"/>
        </w:rPr>
        <w:t>tracking</w:t>
      </w:r>
      <w:r w:rsidRPr="001E431A">
        <w:rPr>
          <w:rFonts w:cs="Arial"/>
          <w:color w:val="000000"/>
          <w:spacing w:val="-1"/>
          <w:lang w:val="fr-FR"/>
        </w:rPr>
        <w:t xml:space="preserve"> </w:t>
      </w:r>
      <w:r w:rsidRPr="001E431A">
        <w:rPr>
          <w:rFonts w:cs="Arial"/>
          <w:color w:val="000000"/>
          <w:spacing w:val="-1"/>
          <w:lang w:val="fr-FR"/>
        </w:rPr>
        <w:t>error</w:t>
      </w:r>
      <w:r w:rsidRPr="001E431A">
        <w:rPr>
          <w:rFonts w:cs="Arial"/>
          <w:color w:val="000000"/>
          <w:spacing w:val="-1"/>
          <w:lang w:val="fr-FR"/>
        </w:rPr>
        <w:t xml:space="preserve"> ») maximal entre l’évolution de la valeur liquidative du Fonds et celle de l’Indicateur de Référence est de 1%. </w:t>
      </w:r>
    </w:p>
    <w:p w:rsidR="00D61EB0" w:rsidRPr="001E431A" w:rsidP="00D61EB0" w14:paraId="4D09D334" w14:textId="77777777">
      <w:pPr>
        <w:pStyle w:val="BodyText"/>
        <w:tabs>
          <w:tab w:val="left" w:pos="284"/>
        </w:tabs>
        <w:ind w:left="0" w:right="138"/>
        <w:jc w:val="both"/>
        <w:rPr>
          <w:rFonts w:cs="Arial"/>
          <w:color w:val="000000"/>
          <w:spacing w:val="-1"/>
          <w:lang w:val="fr-FR"/>
        </w:rPr>
      </w:pPr>
    </w:p>
    <w:p w:rsidR="00D61EB0" w:rsidRPr="001E431A" w:rsidP="00D61EB0" w14:paraId="0CF85C4B" w14:textId="77777777">
      <w:pPr>
        <w:pStyle w:val="BodyText"/>
        <w:tabs>
          <w:tab w:val="left" w:pos="284"/>
        </w:tabs>
        <w:ind w:left="0" w:right="138"/>
        <w:jc w:val="both"/>
        <w:rPr>
          <w:rFonts w:cs="Arial"/>
          <w:color w:val="000000"/>
          <w:spacing w:val="-1"/>
          <w:lang w:val="fr-FR"/>
        </w:rPr>
      </w:pPr>
      <w:r w:rsidRPr="001E431A">
        <w:rPr>
          <w:rFonts w:cs="Arial"/>
          <w:color w:val="000000"/>
          <w:spacing w:val="-1"/>
          <w:lang w:val="fr-FR"/>
        </w:rPr>
        <w:t xml:space="preserve">Si la « </w:t>
      </w:r>
      <w:r w:rsidRPr="001E431A">
        <w:rPr>
          <w:rFonts w:cs="Arial"/>
          <w:color w:val="000000"/>
          <w:spacing w:val="-1"/>
          <w:lang w:val="fr-FR"/>
        </w:rPr>
        <w:t>tracking</w:t>
      </w:r>
      <w:r w:rsidRPr="001E431A">
        <w:rPr>
          <w:rFonts w:cs="Arial"/>
          <w:color w:val="000000"/>
          <w:spacing w:val="-1"/>
          <w:lang w:val="fr-FR"/>
        </w:rPr>
        <w:t xml:space="preserve"> </w:t>
      </w:r>
      <w:r w:rsidRPr="001E431A">
        <w:rPr>
          <w:rFonts w:cs="Arial"/>
          <w:color w:val="000000"/>
          <w:spacing w:val="-1"/>
          <w:lang w:val="fr-FR"/>
        </w:rPr>
        <w:t>error</w:t>
      </w:r>
      <w:r w:rsidRPr="001E431A">
        <w:rPr>
          <w:rFonts w:cs="Arial"/>
          <w:color w:val="000000"/>
          <w:spacing w:val="-1"/>
          <w:lang w:val="fr-FR"/>
        </w:rPr>
        <w:t xml:space="preserve"> » devenait malgré tout plus élevé que 1%, l’objectif serait de rester néanmoins à un niveau inférieur à 5% de la volatilité de l’Indicateur de Référence.</w:t>
      </w:r>
    </w:p>
    <w:p w:rsidR="00D61EB0" w:rsidRPr="001E431A" w:rsidP="00D61EB0" w14:paraId="2EF95A07" w14:textId="77777777">
      <w:pPr>
        <w:pStyle w:val="BodyText"/>
        <w:tabs>
          <w:tab w:val="left" w:pos="284"/>
        </w:tabs>
        <w:ind w:left="0" w:right="138"/>
        <w:jc w:val="both"/>
        <w:rPr>
          <w:rFonts w:cs="Arial"/>
          <w:color w:val="000000"/>
          <w:spacing w:val="-1"/>
          <w:lang w:val="x-none"/>
        </w:rPr>
      </w:pPr>
    </w:p>
    <w:p w:rsidR="00D61EB0" w:rsidRPr="00D61EB0" w:rsidP="00D61EB0" w14:paraId="2EFF7B89" w14:textId="77777777">
      <w:pPr>
        <w:jc w:val="both"/>
        <w:rPr>
          <w:rFonts w:ascii="Arial" w:hAnsi="Arial" w:cs="Arial"/>
          <w:b/>
          <w:color w:val="000000"/>
          <w:sz w:val="20"/>
          <w:szCs w:val="20"/>
          <w:lang w:val="fr-FR"/>
        </w:rPr>
      </w:pPr>
      <w:r w:rsidRPr="00D61EB0">
        <w:rPr>
          <w:rFonts w:ascii="Arial" w:hAnsi="Arial" w:cs="Arial"/>
          <w:b/>
          <w:color w:val="000000"/>
          <w:sz w:val="20"/>
          <w:szCs w:val="20"/>
          <w:lang w:val="fr-FR"/>
        </w:rPr>
        <w:t>Stratégie d’investissement</w:t>
      </w:r>
    </w:p>
    <w:p w:rsidR="00D61EB0" w:rsidRPr="00D61EB0" w:rsidP="00D61EB0" w14:paraId="1A330B11" w14:textId="77777777">
      <w:pPr>
        <w:jc w:val="both"/>
        <w:textAlignment w:val="baseline"/>
        <w:rPr>
          <w:rFonts w:ascii="Arial" w:eastAsia="Arial" w:hAnsi="Arial" w:cs="Arial"/>
          <w:color w:val="000000"/>
          <w:sz w:val="20"/>
          <w:szCs w:val="20"/>
          <w:lang w:val="fr-FR"/>
        </w:rPr>
      </w:pPr>
      <w:r w:rsidRPr="00D61EB0">
        <w:rPr>
          <w:rFonts w:ascii="Arial" w:eastAsia="Arial" w:hAnsi="Arial" w:cs="Arial"/>
          <w:color w:val="000000"/>
          <w:sz w:val="20"/>
          <w:szCs w:val="20"/>
          <w:lang w:val="fr-FR"/>
        </w:rPr>
        <w:t>La gestion du Fonds est de type « passive ».</w:t>
      </w:r>
    </w:p>
    <w:p w:rsidR="00D61EB0" w:rsidRPr="00D61EB0" w:rsidP="00D61EB0" w14:paraId="333C4BEA" w14:textId="77777777">
      <w:pPr>
        <w:jc w:val="both"/>
        <w:rPr>
          <w:rFonts w:ascii="Arial" w:hAnsi="Arial" w:cs="Arial"/>
          <w:b/>
          <w:color w:val="000000"/>
          <w:sz w:val="20"/>
          <w:szCs w:val="20"/>
          <w:lang w:val="fr-FR"/>
        </w:rPr>
      </w:pPr>
    </w:p>
    <w:p w:rsidR="00D61EB0" w:rsidRPr="00D61EB0" w:rsidP="00D61EB0" w14:paraId="2B392773" w14:textId="1C244B06">
      <w:pPr>
        <w:jc w:val="both"/>
        <w:rPr>
          <w:rFonts w:ascii="Arial" w:hAnsi="Arial" w:cs="Arial"/>
          <w:b/>
          <w:color w:val="000000"/>
          <w:sz w:val="20"/>
          <w:szCs w:val="20"/>
          <w:lang w:val="fr-FR"/>
        </w:rPr>
      </w:pPr>
      <w:r w:rsidRPr="00D61EB0">
        <w:rPr>
          <w:rFonts w:ascii="Arial" w:hAnsi="Arial" w:cs="Arial"/>
          <w:b/>
          <w:color w:val="000000"/>
          <w:sz w:val="20"/>
          <w:szCs w:val="20"/>
          <w:lang w:val="fr-FR"/>
        </w:rPr>
        <w:t xml:space="preserve">1. </w:t>
      </w:r>
      <w:r w:rsidRPr="00D61EB0">
        <w:rPr>
          <w:rFonts w:ascii="Arial" w:hAnsi="Arial" w:cs="Arial"/>
          <w:b/>
          <w:color w:val="000000"/>
          <w:sz w:val="20"/>
          <w:szCs w:val="20"/>
          <w:u w:val="single"/>
          <w:lang w:val="fr-FR"/>
        </w:rPr>
        <w:t>Stratégie utilisée</w:t>
      </w:r>
      <w:r w:rsidRPr="00D61EB0">
        <w:rPr>
          <w:rFonts w:ascii="Arial" w:hAnsi="Arial" w:cs="Arial"/>
          <w:b/>
          <w:color w:val="000000"/>
          <w:sz w:val="20"/>
          <w:szCs w:val="20"/>
          <w:lang w:val="fr-FR"/>
        </w:rPr>
        <w:t xml:space="preserve"> : </w:t>
      </w:r>
    </w:p>
    <w:p w:rsidR="00D61EB0" w:rsidRPr="00D61EB0" w:rsidP="00D61EB0" w14:paraId="4AAB3FA4" w14:textId="77777777">
      <w:pPr>
        <w:autoSpaceDE w:val="0"/>
        <w:autoSpaceDN w:val="0"/>
        <w:adjustRightInd w:val="0"/>
        <w:jc w:val="both"/>
        <w:rPr>
          <w:rFonts w:ascii="Arial" w:hAnsi="Arial" w:cs="Arial"/>
          <w:sz w:val="20"/>
          <w:szCs w:val="20"/>
          <w:lang w:val="fr-FR" w:eastAsia="fr-FR"/>
        </w:rPr>
      </w:pPr>
      <w:r w:rsidRPr="00D61EB0">
        <w:rPr>
          <w:rFonts w:ascii="Arial" w:hAnsi="Arial" w:cs="Arial"/>
          <w:sz w:val="20"/>
          <w:szCs w:val="20"/>
          <w:lang w:val="fr-FR" w:eastAsia="fr-FR"/>
        </w:rPr>
        <w:t>L’OPC est classé article 8 au sens du Règlement (UE) 2019/2088 sur la publication d’informations en matière de durabilité dans le secteur des services financiers (dit « Règlement Disclosure »). Des informations sur les caractéristiques environnementales et sociales sont disponibles en annexe de ce prospectus.</w:t>
      </w:r>
    </w:p>
    <w:p w:rsidR="00D61EB0" w:rsidRPr="00D61EB0" w:rsidP="00D61EB0" w14:paraId="26B560C1" w14:textId="77777777">
      <w:pPr>
        <w:autoSpaceDE w:val="0"/>
        <w:autoSpaceDN w:val="0"/>
        <w:adjustRightInd w:val="0"/>
        <w:jc w:val="both"/>
        <w:rPr>
          <w:rFonts w:ascii="Arial" w:hAnsi="Arial" w:cs="Arial"/>
          <w:sz w:val="20"/>
          <w:szCs w:val="20"/>
          <w:lang w:val="fr-FR" w:eastAsia="fr-FR"/>
        </w:rPr>
      </w:pPr>
    </w:p>
    <w:p w:rsidR="00D61EB0" w:rsidRPr="00D61EB0" w:rsidP="00D61EB0" w14:paraId="174D8E5A" w14:textId="77777777">
      <w:pPr>
        <w:autoSpaceDE w:val="0"/>
        <w:autoSpaceDN w:val="0"/>
        <w:adjustRightInd w:val="0"/>
        <w:jc w:val="both"/>
        <w:rPr>
          <w:rFonts w:ascii="Arial" w:hAnsi="Arial" w:cs="Arial"/>
          <w:sz w:val="20"/>
          <w:szCs w:val="20"/>
          <w:lang w:val="fr-FR" w:eastAsia="fr-FR"/>
        </w:rPr>
      </w:pPr>
      <w:r w:rsidRPr="00D61EB0">
        <w:rPr>
          <w:rFonts w:ascii="Arial" w:hAnsi="Arial" w:cs="Arial"/>
          <w:sz w:val="20"/>
          <w:szCs w:val="20"/>
          <w:lang w:val="fr-FR" w:eastAsia="fr-FR"/>
        </w:rPr>
        <w:t xml:space="preserve">Les principales incidences négatives des décisions d'investissement (au sens du Règlement (UE) 2019/2088 sur la publication d’informations en matière de durabilité dans le secteur des services financiers (dit </w:t>
      </w:r>
      <w:r w:rsidRPr="00D61EB0">
        <w:rPr>
          <w:rFonts w:ascii="Arial" w:hAnsi="Arial" w:cs="Arial"/>
          <w:sz w:val="20"/>
          <w:szCs w:val="20"/>
          <w:lang w:val="fr-FR" w:eastAsia="fr-FR"/>
        </w:rPr>
        <w:br/>
        <w:t>« Règlement Disclosure »)) sont les effets négatifs, importants ou susceptibles d'être importants, sur les facteurs de durabilité qui sont causés, aggravés par ou directement liés aux décisions d'investissement. L’Annexe 1 du règlement délégué au Règlement Disclosure dresse la liste des indicateurs des principales incidences négatives.</w:t>
      </w:r>
    </w:p>
    <w:p w:rsidR="00D61EB0" w:rsidRPr="00D61EB0" w:rsidP="00D61EB0" w14:paraId="155ADC0E" w14:textId="77777777">
      <w:pPr>
        <w:autoSpaceDE w:val="0"/>
        <w:autoSpaceDN w:val="0"/>
        <w:adjustRightInd w:val="0"/>
        <w:jc w:val="both"/>
        <w:rPr>
          <w:rFonts w:ascii="Arial" w:hAnsi="Arial" w:cs="Arial"/>
          <w:sz w:val="20"/>
          <w:szCs w:val="20"/>
          <w:lang w:val="fr-FR" w:eastAsia="fr-FR"/>
        </w:rPr>
      </w:pPr>
      <w:r w:rsidRPr="00D61EB0">
        <w:rPr>
          <w:rFonts w:ascii="Arial" w:hAnsi="Arial" w:cs="Arial"/>
          <w:sz w:val="20"/>
          <w:szCs w:val="20"/>
          <w:lang w:val="fr-FR" w:eastAsia="fr-FR"/>
        </w:rPr>
        <w:t>Les principales incidences négatives obligatoires de l’Annexe 1 du règlement délégué sont prises en compte dans la stratégie d’investissement via une combinaison d'exclusions (normatives et sectorielles), d’intégration de la notation ESG dans le process d’investissement, d’engagement et de vote.</w:t>
      </w:r>
    </w:p>
    <w:p w:rsidR="00D61EB0" w:rsidRPr="00D61EB0" w:rsidP="00D61EB0" w14:paraId="59B8B1E4" w14:textId="77777777">
      <w:pPr>
        <w:autoSpaceDE w:val="0"/>
        <w:autoSpaceDN w:val="0"/>
        <w:adjustRightInd w:val="0"/>
        <w:jc w:val="both"/>
        <w:rPr>
          <w:rFonts w:ascii="Arial" w:hAnsi="Arial" w:cs="Arial"/>
          <w:sz w:val="20"/>
          <w:szCs w:val="20"/>
          <w:lang w:val="fr-FR" w:eastAsia="fr-FR"/>
        </w:rPr>
      </w:pPr>
      <w:r w:rsidRPr="00D61EB0">
        <w:rPr>
          <w:rFonts w:ascii="Arial" w:hAnsi="Arial" w:cs="Arial"/>
          <w:sz w:val="20"/>
          <w:szCs w:val="20"/>
          <w:lang w:val="fr-FR" w:eastAsia="fr-FR"/>
        </w:rPr>
        <w:t xml:space="preserve">Des informations plus détaillées sur les principales incidences négatives sont incluses dans la déclaration réglementaire ESG de la Société de Gestion disponible sur son site internet : </w:t>
      </w:r>
      <w:hyperlink r:id="rId7" w:history="1">
        <w:r>
          <w:rPr>
            <w:rStyle w:val="Hyperlink"/>
            <w:rFonts w:ascii="Arial" w:hAnsi="Arial" w:cs="Arial"/>
            <w:sz w:val="20"/>
            <w:szCs w:val="20"/>
            <w:lang w:val="fr-FR" w:eastAsia="fr-FR"/>
          </w:rPr>
          <w:t>www.amundi.com</w:t>
        </w:r>
      </w:hyperlink>
      <w:r w:rsidRPr="00D61EB0">
        <w:rPr>
          <w:rFonts w:ascii="Arial" w:hAnsi="Arial" w:cs="Arial"/>
          <w:sz w:val="20"/>
          <w:szCs w:val="20"/>
          <w:lang w:val="fr-FR" w:eastAsia="fr-FR"/>
        </w:rPr>
        <w:t xml:space="preserve">. </w:t>
      </w:r>
    </w:p>
    <w:p w:rsidR="00D61EB0" w:rsidRPr="00D61EB0" w:rsidP="00D61EB0" w14:paraId="1D8D697F" w14:textId="77777777">
      <w:pPr>
        <w:autoSpaceDE w:val="0"/>
        <w:autoSpaceDN w:val="0"/>
        <w:adjustRightInd w:val="0"/>
        <w:jc w:val="both"/>
        <w:rPr>
          <w:rFonts w:ascii="Arial" w:hAnsi="Arial" w:cs="Arial"/>
          <w:sz w:val="20"/>
          <w:szCs w:val="20"/>
          <w:lang w:val="fr-FR" w:eastAsia="fr-FR"/>
        </w:rPr>
      </w:pPr>
    </w:p>
    <w:p w:rsidR="00D61EB0" w:rsidRPr="00D61EB0" w:rsidP="00D61EB0" w14:paraId="5514F5AB" w14:textId="77777777">
      <w:pPr>
        <w:autoSpaceDE w:val="0"/>
        <w:autoSpaceDN w:val="0"/>
        <w:adjustRightInd w:val="0"/>
        <w:jc w:val="both"/>
        <w:rPr>
          <w:rFonts w:ascii="Arial" w:hAnsi="Arial" w:cs="Arial"/>
          <w:sz w:val="20"/>
          <w:szCs w:val="20"/>
          <w:lang w:val="fr-FR" w:eastAsia="fr-FR"/>
        </w:rPr>
      </w:pPr>
      <w:r w:rsidRPr="00D61EB0">
        <w:rPr>
          <w:rFonts w:ascii="Arial" w:hAnsi="Arial" w:cs="Arial"/>
          <w:sz w:val="20"/>
          <w:szCs w:val="20"/>
          <w:lang w:val="fr-FR" w:eastAsia="fr-FR"/>
        </w:rPr>
        <w:t>Conformément à son objectif et à sa politique d'investissement, l’OPC peut investir dans une activité économique qui contribue à un objectif environnemental au sens de l'article 5 du Règlement sur la Taxonomie.</w:t>
      </w:r>
    </w:p>
    <w:p w:rsidR="00D61EB0" w:rsidRPr="00D61EB0" w:rsidP="00D61EB0" w14:paraId="2021745E" w14:textId="77777777">
      <w:pPr>
        <w:autoSpaceDE w:val="0"/>
        <w:autoSpaceDN w:val="0"/>
        <w:adjustRightInd w:val="0"/>
        <w:jc w:val="both"/>
        <w:rPr>
          <w:rFonts w:ascii="Arial" w:hAnsi="Arial" w:cs="Arial"/>
          <w:sz w:val="20"/>
          <w:szCs w:val="20"/>
          <w:lang w:val="fr-FR" w:eastAsia="fr-FR"/>
        </w:rPr>
      </w:pPr>
      <w:r w:rsidRPr="00D61EB0">
        <w:rPr>
          <w:rFonts w:ascii="Arial" w:hAnsi="Arial" w:cs="Arial"/>
          <w:sz w:val="20"/>
          <w:szCs w:val="20"/>
          <w:lang w:val="fr-FR" w:eastAsia="fr-FR"/>
        </w:rPr>
        <w:t>Aussi, il est attendu que l’OPC puisse partiellement investir dans des activités économiques qualifiées d'écologiquement durables au sens des articles 3 et 9 du Règlement sur la Taxonomie. L’OPC ne prend toutefois actuellement aucun engagement quant à une proportion minimale.</w:t>
      </w:r>
    </w:p>
    <w:p w:rsidR="00D61EB0" w:rsidRPr="00D61EB0" w:rsidP="00D61EB0" w14:paraId="3E7A0C6C" w14:textId="77777777">
      <w:pPr>
        <w:autoSpaceDE w:val="0"/>
        <w:autoSpaceDN w:val="0"/>
        <w:adjustRightInd w:val="0"/>
        <w:jc w:val="both"/>
        <w:rPr>
          <w:rFonts w:ascii="Arial" w:hAnsi="Arial" w:cs="Arial"/>
          <w:sz w:val="20"/>
          <w:szCs w:val="20"/>
          <w:lang w:val="fr-FR" w:eastAsia="fr-FR"/>
        </w:rPr>
      </w:pPr>
    </w:p>
    <w:p w:rsidR="00D61EB0" w:rsidRPr="00D61EB0" w:rsidP="00D61EB0" w14:paraId="6B3B4FA4" w14:textId="77777777">
      <w:pPr>
        <w:autoSpaceDE w:val="0"/>
        <w:autoSpaceDN w:val="0"/>
        <w:adjustRightInd w:val="0"/>
        <w:jc w:val="both"/>
        <w:rPr>
          <w:rFonts w:ascii="Arial" w:hAnsi="Arial" w:cs="Arial"/>
          <w:sz w:val="20"/>
          <w:szCs w:val="20"/>
          <w:lang w:val="fr-FR" w:eastAsia="fr-FR"/>
        </w:rPr>
      </w:pPr>
      <w:r w:rsidRPr="00D61EB0">
        <w:rPr>
          <w:rFonts w:ascii="Arial" w:hAnsi="Arial" w:cs="Arial"/>
          <w:sz w:val="20"/>
          <w:szCs w:val="20"/>
          <w:lang w:val="fr-FR" w:eastAsia="fr-FR"/>
        </w:rPr>
        <w:t>Le Fonds fait l’objet d’une gestion indicielle dont l’objectif est de répliquer les évolutions de la performance de l’Indicateur de Référence selon une méthode de réplication directe de l’Indicateur de Référence qui consiste à investir dans les titres financiers entrant dans la composition de l'Indicateur de Référence dans des proportions extrêmement proches de celles de l’Indicateur de Référence.</w:t>
      </w:r>
    </w:p>
    <w:p w:rsidR="00D61EB0" w:rsidRPr="00D61EB0" w:rsidP="00D61EB0" w14:paraId="5D6B408F" w14:textId="77777777">
      <w:pPr>
        <w:autoSpaceDE w:val="0"/>
        <w:autoSpaceDN w:val="0"/>
        <w:adjustRightInd w:val="0"/>
        <w:jc w:val="both"/>
        <w:rPr>
          <w:rFonts w:ascii="Arial" w:hAnsi="Arial" w:cs="Arial"/>
          <w:sz w:val="20"/>
          <w:szCs w:val="20"/>
          <w:lang w:val="fr-FR" w:eastAsia="fr-FR"/>
        </w:rPr>
      </w:pPr>
    </w:p>
    <w:p w:rsidR="00D61EB0" w:rsidRPr="00D61EB0" w:rsidP="00D61EB0" w14:paraId="7698A30F" w14:textId="77777777">
      <w:pPr>
        <w:autoSpaceDE w:val="0"/>
        <w:autoSpaceDN w:val="0"/>
        <w:adjustRightInd w:val="0"/>
        <w:jc w:val="both"/>
        <w:rPr>
          <w:rFonts w:ascii="Arial" w:hAnsi="Arial" w:cs="Arial"/>
          <w:sz w:val="20"/>
          <w:szCs w:val="20"/>
          <w:lang w:val="fr-FR" w:eastAsia="fr-FR"/>
        </w:rPr>
      </w:pPr>
      <w:r w:rsidRPr="00D61EB0">
        <w:rPr>
          <w:rFonts w:ascii="Arial" w:hAnsi="Arial" w:cs="Arial"/>
          <w:sz w:val="20"/>
          <w:szCs w:val="20"/>
          <w:lang w:val="fr-FR" w:eastAsia="fr-FR"/>
        </w:rPr>
        <w:t>La Société de Gestion pourra décider d’utiliser la technique dite par « échantillonnage » consistant à investir dans une sélection de titres représentatifs composant l’Indicateur de Référence (et non tous les titres), dans des proportions différentes de celles de l’Indicateur de Référence ou bien même à investir dans des titres n’entrant pas dans la composition de l’Indicateur de Référence.</w:t>
      </w:r>
    </w:p>
    <w:p w:rsidR="00D61EB0" w:rsidRPr="00D61EB0" w:rsidP="00D61EB0" w14:paraId="58B472FB" w14:textId="77777777">
      <w:pPr>
        <w:autoSpaceDE w:val="0"/>
        <w:autoSpaceDN w:val="0"/>
        <w:adjustRightInd w:val="0"/>
        <w:jc w:val="both"/>
        <w:rPr>
          <w:rFonts w:ascii="Arial" w:hAnsi="Arial" w:cs="Arial"/>
          <w:sz w:val="20"/>
          <w:szCs w:val="20"/>
          <w:lang w:val="fr-FR" w:eastAsia="fr-FR"/>
        </w:rPr>
      </w:pPr>
    </w:p>
    <w:p w:rsidR="00D61EB0" w:rsidRPr="00D61EB0" w:rsidP="00D61EB0" w14:paraId="1DABDCD4" w14:textId="77777777">
      <w:pPr>
        <w:autoSpaceDE w:val="0"/>
        <w:autoSpaceDN w:val="0"/>
        <w:adjustRightInd w:val="0"/>
        <w:jc w:val="both"/>
        <w:rPr>
          <w:rFonts w:ascii="Arial" w:hAnsi="Arial" w:cs="Arial"/>
          <w:sz w:val="20"/>
          <w:szCs w:val="20"/>
          <w:lang w:val="fr-FR" w:eastAsia="fr-FR"/>
        </w:rPr>
      </w:pPr>
      <w:r w:rsidRPr="00D61EB0">
        <w:rPr>
          <w:rFonts w:ascii="Arial" w:hAnsi="Arial" w:cs="Arial"/>
          <w:sz w:val="20"/>
          <w:szCs w:val="20"/>
          <w:lang w:val="fr-FR" w:eastAsia="fr-FR"/>
        </w:rPr>
        <w:t>Le Fonds respectera les règles d’investissements édictées aux articles R214-21, R214-22 et R214-23 du CMF.</w:t>
      </w:r>
    </w:p>
    <w:p w:rsidR="00D61EB0" w:rsidRPr="00D61EB0" w:rsidP="00D61EB0" w14:paraId="65437C18" w14:textId="77777777">
      <w:pPr>
        <w:autoSpaceDE w:val="0"/>
        <w:autoSpaceDN w:val="0"/>
        <w:adjustRightInd w:val="0"/>
        <w:jc w:val="both"/>
        <w:rPr>
          <w:rFonts w:ascii="Arial" w:hAnsi="Arial" w:cs="Arial"/>
          <w:sz w:val="20"/>
          <w:szCs w:val="20"/>
          <w:lang w:val="fr-FR" w:eastAsia="fr-FR"/>
        </w:rPr>
      </w:pPr>
    </w:p>
    <w:p w:rsidR="00D61EB0" w:rsidRPr="00D61EB0" w:rsidP="00D61EB0" w14:paraId="68FC7EB5" w14:textId="77777777">
      <w:pPr>
        <w:autoSpaceDE w:val="0"/>
        <w:autoSpaceDN w:val="0"/>
        <w:adjustRightInd w:val="0"/>
        <w:jc w:val="both"/>
        <w:rPr>
          <w:rFonts w:ascii="Arial" w:hAnsi="Arial" w:cs="Arial"/>
          <w:sz w:val="20"/>
          <w:szCs w:val="20"/>
          <w:lang w:val="fr-FR" w:eastAsia="fr-FR"/>
        </w:rPr>
      </w:pPr>
      <w:r w:rsidRPr="00D61EB0">
        <w:rPr>
          <w:rFonts w:ascii="Arial" w:hAnsi="Arial" w:cs="Arial"/>
          <w:sz w:val="20"/>
          <w:szCs w:val="20"/>
          <w:lang w:val="fr-FR" w:eastAsia="fr-FR"/>
        </w:rPr>
        <w:t>L'actif du Fonds composé des actifs détenus directement et décrits dans la rubrique « Actifs utilisés » respecte les dispositions de l’article R 214-21 du CMF.</w:t>
      </w:r>
    </w:p>
    <w:p w:rsidR="00D61EB0" w:rsidRPr="00D61EB0" w:rsidP="00D61EB0" w14:paraId="3995C55D" w14:textId="77777777">
      <w:pPr>
        <w:autoSpaceDE w:val="0"/>
        <w:autoSpaceDN w:val="0"/>
        <w:adjustRightInd w:val="0"/>
        <w:jc w:val="both"/>
        <w:rPr>
          <w:rFonts w:ascii="Arial" w:hAnsi="Arial" w:cs="Arial"/>
          <w:sz w:val="20"/>
          <w:szCs w:val="20"/>
          <w:lang w:val="fr-FR" w:eastAsia="fr-FR"/>
        </w:rPr>
      </w:pPr>
    </w:p>
    <w:p w:rsidR="00D61EB0" w:rsidRPr="00D61EB0" w:rsidP="00D61EB0" w14:paraId="41C151EF" w14:textId="77777777">
      <w:pPr>
        <w:autoSpaceDE w:val="0"/>
        <w:autoSpaceDN w:val="0"/>
        <w:adjustRightInd w:val="0"/>
        <w:jc w:val="both"/>
        <w:rPr>
          <w:rFonts w:ascii="Arial" w:hAnsi="Arial" w:cs="Arial"/>
          <w:sz w:val="20"/>
          <w:szCs w:val="20"/>
          <w:lang w:val="fr-FR" w:eastAsia="fr-FR"/>
        </w:rPr>
      </w:pPr>
      <w:r w:rsidRPr="00D61EB0">
        <w:rPr>
          <w:rFonts w:ascii="Arial" w:hAnsi="Arial" w:cs="Arial"/>
          <w:sz w:val="20"/>
          <w:szCs w:val="20"/>
          <w:lang w:val="fr-FR" w:eastAsia="fr-FR"/>
        </w:rPr>
        <w:t xml:space="preserve">L’exposition du Fonds à l’indice peut bénéficier des ratios dérogatoires applicables aux OPCVM indiciels mentionnés à l’article R214-22 du CMF. </w:t>
      </w:r>
    </w:p>
    <w:p w:rsidR="00D61EB0" w:rsidRPr="00D61EB0" w:rsidP="00D61EB0" w14:paraId="30710CCD" w14:textId="77777777">
      <w:pPr>
        <w:autoSpaceDE w:val="0"/>
        <w:autoSpaceDN w:val="0"/>
        <w:adjustRightInd w:val="0"/>
        <w:jc w:val="both"/>
        <w:rPr>
          <w:rFonts w:ascii="Arial" w:hAnsi="Arial" w:cs="Arial"/>
          <w:sz w:val="20"/>
          <w:szCs w:val="20"/>
          <w:lang w:val="fr-FR" w:eastAsia="fr-FR"/>
        </w:rPr>
      </w:pPr>
    </w:p>
    <w:p w:rsidR="00D61EB0" w:rsidRPr="00D61EB0" w:rsidP="00D61EB0" w14:paraId="7C04D92E" w14:textId="77777777">
      <w:pPr>
        <w:autoSpaceDE w:val="0"/>
        <w:autoSpaceDN w:val="0"/>
        <w:adjustRightInd w:val="0"/>
        <w:jc w:val="both"/>
        <w:rPr>
          <w:rFonts w:ascii="Arial" w:hAnsi="Arial" w:cs="Arial"/>
          <w:sz w:val="20"/>
          <w:szCs w:val="20"/>
          <w:lang w:val="fr-FR" w:eastAsia="fr-FR"/>
        </w:rPr>
      </w:pPr>
      <w:r w:rsidRPr="00D61EB0">
        <w:rPr>
          <w:rFonts w:ascii="Arial" w:hAnsi="Arial" w:cs="Arial"/>
          <w:sz w:val="20"/>
          <w:szCs w:val="20"/>
          <w:lang w:val="fr-FR" w:eastAsia="fr-FR"/>
        </w:rPr>
        <w:t>Cet article dispose que l’indice peut être composé jusqu’à hauteur de 20% maximum d’actions ou de titres de créance émis par une même entité, cette limite pouvant être portée à 35% maximum pour une seule entité émettrice lorsque cela se révèle justifié par des conditions exceptionnelles sur le marché, notamment sur des marchés réglementés où certaines valeurs mobilières ou certains instruments du marché monétaire sont largement dominants.</w:t>
      </w:r>
    </w:p>
    <w:p w:rsidR="00D61EB0" w:rsidRPr="001E431A" w:rsidP="00D61EB0" w14:paraId="610CA934" w14:textId="77777777">
      <w:pPr>
        <w:jc w:val="both"/>
        <w:rPr>
          <w:rFonts w:ascii="Arial" w:eastAsia="Arial" w:hAnsi="Arial" w:cs="Arial"/>
          <w:color w:val="000000"/>
          <w:spacing w:val="-1"/>
          <w:sz w:val="20"/>
          <w:szCs w:val="20"/>
          <w:lang w:val="x-none"/>
        </w:rPr>
      </w:pPr>
    </w:p>
    <w:p w:rsidR="00D61EB0" w:rsidRPr="00D61EB0" w:rsidP="00D61EB0" w14:paraId="3DC41485" w14:textId="77777777">
      <w:pPr>
        <w:jc w:val="both"/>
        <w:rPr>
          <w:rFonts w:ascii="Arial" w:hAnsi="Arial" w:cs="Arial"/>
          <w:b/>
          <w:color w:val="000000"/>
          <w:sz w:val="20"/>
          <w:szCs w:val="20"/>
          <w:lang w:val="fr-FR"/>
        </w:rPr>
      </w:pPr>
      <w:r w:rsidRPr="00D61EB0">
        <w:rPr>
          <w:rFonts w:ascii="Arial" w:hAnsi="Arial" w:cs="Arial"/>
          <w:b/>
          <w:color w:val="000000"/>
          <w:sz w:val="20"/>
          <w:szCs w:val="20"/>
          <w:lang w:val="fr-FR"/>
        </w:rPr>
        <w:t xml:space="preserve">2. </w:t>
      </w:r>
      <w:r w:rsidRPr="00D61EB0">
        <w:rPr>
          <w:rFonts w:ascii="Arial" w:hAnsi="Arial" w:cs="Arial"/>
          <w:b/>
          <w:color w:val="000000"/>
          <w:sz w:val="20"/>
          <w:szCs w:val="20"/>
          <w:u w:val="single"/>
          <w:lang w:val="fr-FR"/>
        </w:rPr>
        <w:t>Actifs utilisés (hors dérivés intégrés)</w:t>
      </w:r>
      <w:r w:rsidRPr="00D61EB0">
        <w:rPr>
          <w:rFonts w:ascii="Arial" w:hAnsi="Arial" w:cs="Arial"/>
          <w:b/>
          <w:color w:val="000000"/>
          <w:sz w:val="20"/>
          <w:szCs w:val="20"/>
          <w:lang w:val="fr-FR"/>
        </w:rPr>
        <w:t xml:space="preserve"> : </w:t>
      </w:r>
    </w:p>
    <w:p w:rsidR="00D61EB0" w:rsidRPr="001E431A" w:rsidP="00D61EB0" w14:paraId="265409FC" w14:textId="77777777">
      <w:pPr>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u w:val="single"/>
          <w:lang w:val="x-none"/>
        </w:rPr>
        <w:t>Actions</w:t>
      </w:r>
      <w:r w:rsidRPr="001E431A">
        <w:rPr>
          <w:rFonts w:ascii="Arial" w:eastAsia="Arial" w:hAnsi="Arial" w:cs="Arial"/>
          <w:color w:val="000000"/>
          <w:spacing w:val="-1"/>
          <w:sz w:val="20"/>
          <w:szCs w:val="20"/>
          <w:lang w:val="x-none"/>
        </w:rPr>
        <w:t xml:space="preserve"> :</w:t>
      </w:r>
    </w:p>
    <w:p w:rsidR="00D61EB0" w:rsidRPr="001E431A" w:rsidP="00D61EB0" w14:paraId="010FCFF5" w14:textId="77777777">
      <w:pPr>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Le Fonds sera en permanence exposé à hauteur de 95% au moins sur un ou plusieurs marchés des actions émises dans un ou plusieurs pays de OCDE.</w:t>
      </w:r>
    </w:p>
    <w:p w:rsidR="00D61EB0" w:rsidRPr="001E431A" w:rsidP="00D61EB0" w14:paraId="56A9A173" w14:textId="77777777">
      <w:pPr>
        <w:jc w:val="both"/>
        <w:rPr>
          <w:rFonts w:ascii="Arial" w:eastAsia="Arial" w:hAnsi="Arial" w:cs="Arial"/>
          <w:color w:val="000000"/>
          <w:spacing w:val="-1"/>
          <w:sz w:val="20"/>
          <w:szCs w:val="20"/>
          <w:lang w:val="x-none"/>
        </w:rPr>
      </w:pPr>
    </w:p>
    <w:p w:rsidR="00D61EB0" w:rsidRPr="001E431A" w:rsidP="00D61EB0" w14:paraId="44A3A281" w14:textId="77777777">
      <w:pPr>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Le Fonds sera investi, dans le respect des ratios prévus par la réglementation, dans des actions internationales (de tous les secteurs économiques, cotées sur tous les marchés), jusqu’à 100% de son actif net dans des actions internationales. Toutefois en cas d’ajustements liés aux souscriptions/rachats, l’investissement peut dépasser de manière résiduelle cette limite.</w:t>
      </w:r>
    </w:p>
    <w:p w:rsidR="00D61EB0" w:rsidRPr="001E431A" w:rsidP="00D61EB0" w14:paraId="549DF91E" w14:textId="77777777">
      <w:pPr>
        <w:jc w:val="both"/>
        <w:rPr>
          <w:rFonts w:ascii="Arial" w:eastAsia="Arial" w:hAnsi="Arial" w:cs="Arial"/>
          <w:color w:val="000000"/>
          <w:spacing w:val="-1"/>
          <w:sz w:val="20"/>
          <w:szCs w:val="20"/>
          <w:lang w:val="x-none"/>
        </w:rPr>
      </w:pPr>
    </w:p>
    <w:p w:rsidR="00D61EB0" w:rsidRPr="001E431A" w:rsidP="00D61EB0" w14:paraId="4B6ACDF6" w14:textId="77777777">
      <w:pPr>
        <w:jc w:val="both"/>
        <w:rPr>
          <w:rFonts w:ascii="Arial" w:eastAsia="Arial" w:hAnsi="Arial" w:cs="Arial"/>
          <w:color w:val="000000"/>
          <w:spacing w:val="-1"/>
          <w:sz w:val="20"/>
          <w:szCs w:val="20"/>
          <w:lang w:val="x-none"/>
        </w:rPr>
      </w:pPr>
      <w:r w:rsidRPr="00D61EB0">
        <w:rPr>
          <w:rFonts w:ascii="Arial" w:eastAsia="Arial" w:hAnsi="Arial" w:cs="Arial"/>
          <w:color w:val="000000"/>
          <w:spacing w:val="-1"/>
          <w:sz w:val="20"/>
          <w:szCs w:val="20"/>
          <w:lang w:val="fr-FR"/>
        </w:rPr>
        <w:t>Les actions à l’actif du Fonds seront des actions composant l’Indicateur de Référence, elles devront être cotées sur un marché réglementé (Article 4 (1) 21 Directive 2014/65/UE du parlement européen et du conseil) de l'OCDE.</w:t>
      </w:r>
    </w:p>
    <w:p w:rsidR="00D61EB0" w:rsidRPr="001E431A" w:rsidP="00D61EB0" w14:paraId="5B6C3CF1" w14:textId="77777777">
      <w:pPr>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 xml:space="preserve">Le fonds sera en permanence investi à hauteur de 95% au moins en actions cotées. Aux fins d’interprétation de ce ratio, les actions émises par des </w:t>
      </w:r>
      <w:r w:rsidRPr="001E431A">
        <w:rPr>
          <w:rFonts w:ascii="Arial" w:eastAsia="Arial" w:hAnsi="Arial" w:cs="Arial"/>
          <w:color w:val="000000"/>
          <w:spacing w:val="-1"/>
          <w:sz w:val="20"/>
          <w:szCs w:val="20"/>
          <w:lang w:val="x-none"/>
        </w:rPr>
        <w:t>REITs</w:t>
      </w:r>
      <w:r w:rsidRPr="001E431A">
        <w:rPr>
          <w:rFonts w:ascii="Arial" w:eastAsia="Arial" w:hAnsi="Arial" w:cs="Arial"/>
          <w:color w:val="000000"/>
          <w:spacing w:val="-1"/>
          <w:sz w:val="20"/>
          <w:szCs w:val="20"/>
          <w:lang w:val="x-none"/>
        </w:rPr>
        <w:t xml:space="preserve"> (tel que ce terme est défini par le ministère allemand des finances) ou des OPC ne sont pas considérées comme des actions.</w:t>
      </w:r>
    </w:p>
    <w:p w:rsidR="00D61EB0" w:rsidRPr="001E431A" w:rsidP="00D61EB0" w14:paraId="626ADCF0" w14:textId="77777777">
      <w:pPr>
        <w:jc w:val="both"/>
        <w:rPr>
          <w:rFonts w:ascii="Arial" w:eastAsia="Arial" w:hAnsi="Arial" w:cs="Arial"/>
          <w:color w:val="000000"/>
          <w:spacing w:val="-1"/>
          <w:sz w:val="20"/>
          <w:szCs w:val="20"/>
          <w:lang w:val="x-none"/>
        </w:rPr>
      </w:pPr>
    </w:p>
    <w:p w:rsidR="00D61EB0" w:rsidRPr="001E431A" w:rsidP="00D61EB0" w14:paraId="38AAD8E7" w14:textId="77777777">
      <w:pPr>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u w:val="single"/>
          <w:lang w:val="x-none"/>
        </w:rPr>
        <w:t>Parts ou actions d’OPCVM</w:t>
      </w:r>
      <w:r w:rsidRPr="001E431A">
        <w:rPr>
          <w:rFonts w:ascii="Arial" w:eastAsia="Arial" w:hAnsi="Arial" w:cs="Arial"/>
          <w:color w:val="000000"/>
          <w:spacing w:val="-1"/>
          <w:sz w:val="20"/>
          <w:szCs w:val="20"/>
          <w:lang w:val="x-none"/>
        </w:rPr>
        <w:t xml:space="preserve"> : </w:t>
      </w:r>
    </w:p>
    <w:p w:rsidR="00D61EB0" w:rsidRPr="001E431A" w:rsidP="00D61EB0" w14:paraId="0D4FD71C" w14:textId="77777777">
      <w:pPr>
        <w:jc w:val="both"/>
        <w:rPr>
          <w:rFonts w:ascii="Arial" w:eastAsia="Arial" w:hAnsi="Arial" w:cs="Arial"/>
          <w:color w:val="000000"/>
          <w:spacing w:val="-1"/>
          <w:sz w:val="20"/>
          <w:szCs w:val="20"/>
          <w:lang w:val="x-none"/>
        </w:rPr>
      </w:pPr>
      <w:r w:rsidRPr="00D61EB0">
        <w:rPr>
          <w:rFonts w:ascii="Arial" w:eastAsia="Arial" w:hAnsi="Arial" w:cs="Arial"/>
          <w:color w:val="000000"/>
          <w:spacing w:val="-1"/>
          <w:sz w:val="20"/>
          <w:szCs w:val="20"/>
          <w:lang w:val="fr-FR"/>
        </w:rPr>
        <w:t>Le Fonds peut détenir jusqu'à 10 % de son actif en parts et/ou actions d'OPCVM. Ces OPCVM sont représentatifs de toutes les classes d'actifs, dans le respect des contraintes du Fonds. Il peut s'agir d'OPCVM gérés par la Société de Gestion ou par d'autres entités appartenant ou non au Groupe Crédit Agricole SA - y compris une société liée.</w:t>
      </w:r>
    </w:p>
    <w:p w:rsidR="00D61EB0" w:rsidRPr="001E431A" w:rsidP="00D61EB0" w14:paraId="4AFC01B2" w14:textId="77777777">
      <w:pPr>
        <w:jc w:val="both"/>
        <w:rPr>
          <w:rFonts w:ascii="Arial" w:eastAsia="Arial" w:hAnsi="Arial" w:cs="Arial"/>
          <w:color w:val="000000"/>
          <w:spacing w:val="-1"/>
          <w:sz w:val="20"/>
          <w:szCs w:val="20"/>
          <w:lang w:val="x-none"/>
        </w:rPr>
      </w:pPr>
    </w:p>
    <w:p w:rsidR="00D61EB0" w:rsidRPr="00D61EB0" w:rsidP="00D61EB0" w14:paraId="40D9F02B" w14:textId="77777777">
      <w:pPr>
        <w:autoSpaceDE w:val="0"/>
        <w:autoSpaceDN w:val="0"/>
        <w:adjustRightInd w:val="0"/>
        <w:jc w:val="both"/>
        <w:rPr>
          <w:rFonts w:ascii="Arial" w:hAnsi="Arial" w:cs="Arial"/>
          <w:b/>
          <w:bCs/>
          <w:color w:val="000000"/>
          <w:sz w:val="20"/>
          <w:szCs w:val="20"/>
          <w:lang w:val="fr-FR"/>
        </w:rPr>
      </w:pPr>
      <w:r w:rsidRPr="00D61EB0">
        <w:rPr>
          <w:rFonts w:ascii="Arial" w:hAnsi="Arial" w:cs="Arial"/>
          <w:b/>
          <w:bCs/>
          <w:color w:val="000000"/>
          <w:sz w:val="20"/>
          <w:szCs w:val="20"/>
          <w:lang w:val="fr-FR"/>
        </w:rPr>
        <w:t xml:space="preserve">3. </w:t>
      </w:r>
      <w:r w:rsidRPr="00D61EB0">
        <w:rPr>
          <w:rFonts w:ascii="Arial" w:hAnsi="Arial" w:cs="Arial"/>
          <w:b/>
          <w:bCs/>
          <w:color w:val="000000"/>
          <w:sz w:val="20"/>
          <w:szCs w:val="20"/>
          <w:u w:val="single"/>
          <w:lang w:val="fr-FR"/>
        </w:rPr>
        <w:t>Instruments dérivés</w:t>
      </w:r>
      <w:r w:rsidRPr="00D61EB0">
        <w:rPr>
          <w:rFonts w:ascii="Arial" w:hAnsi="Arial" w:cs="Arial"/>
          <w:b/>
          <w:bCs/>
          <w:color w:val="000000"/>
          <w:sz w:val="20"/>
          <w:szCs w:val="20"/>
          <w:lang w:val="fr-FR"/>
        </w:rPr>
        <w:t xml:space="preserve"> : </w:t>
      </w:r>
    </w:p>
    <w:p w:rsidR="00D61EB0" w:rsidRPr="001E431A" w:rsidP="00D61EB0" w14:paraId="03DF67AF" w14:textId="77777777">
      <w:pPr>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La sélection des contreparties est effectuée selon la procédure en vigueur au sein d'Amundi et repose sur le principe de sélectivité des meilleures contreparties de marché.</w:t>
      </w:r>
    </w:p>
    <w:p w:rsidR="00D61EB0" w:rsidRPr="001E431A" w:rsidP="00D61EB0" w14:paraId="2C9951AF" w14:textId="77777777">
      <w:pPr>
        <w:jc w:val="both"/>
        <w:rPr>
          <w:rFonts w:ascii="Arial" w:eastAsia="Arial" w:hAnsi="Arial" w:cs="Arial"/>
          <w:color w:val="000000"/>
          <w:spacing w:val="-1"/>
          <w:sz w:val="20"/>
          <w:szCs w:val="20"/>
          <w:lang w:val="x-none"/>
        </w:rPr>
      </w:pPr>
    </w:p>
    <w:p w:rsidR="00D61EB0" w:rsidRPr="001E431A" w:rsidP="00D61EB0" w14:paraId="10DF6764" w14:textId="77777777">
      <w:pPr>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Ceci se traduit notamment par :</w:t>
      </w:r>
    </w:p>
    <w:p w:rsidR="00D61EB0" w:rsidRPr="001E431A" w:rsidP="00D61EB0" w14:paraId="658E1F5F" w14:textId="77777777">
      <w:pPr>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 une double validation des contreparties par le responsable d'Amundi Intermédiation et par le Comité Crédit d'Amundi Asset Management après analyse de leurs profils financiers et opérationnels (nature d'activités, gouvernance, réputation, etc.) par une équipe d'analystes crédit indépendante des équipes de gestion.</w:t>
      </w:r>
    </w:p>
    <w:p w:rsidR="00D61EB0" w:rsidRPr="001E431A" w:rsidP="00D61EB0" w14:paraId="18567A9F" w14:textId="77777777">
      <w:pPr>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 un nombre limité d'institutions financières avec lesquelles l'OPCVM négocie.</w:t>
      </w:r>
    </w:p>
    <w:p w:rsidR="00D61EB0" w:rsidRPr="001E431A" w:rsidP="00D61EB0" w14:paraId="48AAE9F2" w14:textId="77777777">
      <w:pPr>
        <w:jc w:val="both"/>
        <w:rPr>
          <w:rFonts w:ascii="Arial" w:eastAsia="Arial" w:hAnsi="Arial" w:cs="Arial"/>
          <w:color w:val="000000"/>
          <w:spacing w:val="-1"/>
          <w:sz w:val="20"/>
          <w:szCs w:val="20"/>
          <w:lang w:val="x-none"/>
        </w:rPr>
      </w:pPr>
    </w:p>
    <w:p w:rsidR="00D61EB0" w:rsidRPr="001E431A" w:rsidP="00D61EB0" w14:paraId="5FDDCDFE" w14:textId="77777777">
      <w:pPr>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Amundi AM s’appuie sur l’expertise d’Amundi Intermédiation dans le cadre d’une prestation de service quant à la sélection des contreparties.</w:t>
      </w:r>
    </w:p>
    <w:p w:rsidR="00D61EB0" w:rsidRPr="001E431A" w:rsidP="00D61EB0" w14:paraId="5B346463" w14:textId="77777777">
      <w:pPr>
        <w:jc w:val="both"/>
        <w:rPr>
          <w:rFonts w:ascii="Arial" w:eastAsia="Arial" w:hAnsi="Arial" w:cs="Arial"/>
          <w:color w:val="000000"/>
          <w:spacing w:val="-1"/>
          <w:sz w:val="20"/>
          <w:szCs w:val="20"/>
          <w:lang w:val="x-none"/>
        </w:rPr>
      </w:pPr>
    </w:p>
    <w:p w:rsidR="00D61EB0" w:rsidRPr="001E431A" w:rsidP="00D61EB0" w14:paraId="03FBFF03" w14:textId="77777777">
      <w:pPr>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Amundi Intermédiation propose à Amundi AM une liste indicative de contreparties, dont l’éligibilité a préalablement été validée par le Comité Risque de Crédit d'Amundi (groupe), sur les aspects de risque de contreparties.</w:t>
      </w:r>
    </w:p>
    <w:p w:rsidR="00D61EB0" w:rsidRPr="001E431A" w:rsidP="00D61EB0" w14:paraId="7572CFC8" w14:textId="77777777">
      <w:pPr>
        <w:jc w:val="both"/>
        <w:rPr>
          <w:rFonts w:ascii="Arial" w:eastAsia="Arial" w:hAnsi="Arial" w:cs="Arial"/>
          <w:color w:val="000000"/>
          <w:spacing w:val="-1"/>
          <w:sz w:val="20"/>
          <w:szCs w:val="20"/>
          <w:lang w:val="x-none"/>
        </w:rPr>
      </w:pPr>
    </w:p>
    <w:p w:rsidR="00D61EB0" w:rsidRPr="001E431A" w:rsidP="00D61EB0" w14:paraId="509A269D" w14:textId="77777777">
      <w:pPr>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Cette liste est validée ensuite par Amundi AM lors de comités ad-hoc, « Comités Broker ». Les Comités Broker ont pour objet :</w:t>
      </w:r>
    </w:p>
    <w:p w:rsidR="00D61EB0" w:rsidRPr="001E431A" w:rsidP="00D61EB0" w14:paraId="44C831B9" w14:textId="77777777">
      <w:pPr>
        <w:tabs>
          <w:tab w:val="left" w:pos="142"/>
        </w:tabs>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w:t>
      </w:r>
      <w:r w:rsidRPr="001E431A">
        <w:rPr>
          <w:rFonts w:ascii="Arial" w:eastAsia="Arial" w:hAnsi="Arial" w:cs="Arial"/>
          <w:color w:val="000000"/>
          <w:spacing w:val="-1"/>
          <w:sz w:val="20"/>
          <w:szCs w:val="20"/>
          <w:lang w:val="x-none"/>
        </w:rPr>
        <w:tab/>
        <w:t>de suivre les volumes (courtages sur les actions et montant net pour les autres produits) par intermédiaire/contrepartie, par type d’instrument et par marché le cas échéant ;</w:t>
      </w:r>
    </w:p>
    <w:p w:rsidR="00D61EB0" w:rsidRPr="001E431A" w:rsidP="00D61EB0" w14:paraId="4F285422" w14:textId="77777777">
      <w:pPr>
        <w:tabs>
          <w:tab w:val="left" w:pos="142"/>
        </w:tabs>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w:t>
      </w:r>
      <w:r w:rsidRPr="001E431A">
        <w:rPr>
          <w:rFonts w:ascii="Arial" w:eastAsia="Arial" w:hAnsi="Arial" w:cs="Arial"/>
          <w:color w:val="000000"/>
          <w:spacing w:val="-1"/>
          <w:sz w:val="20"/>
          <w:szCs w:val="20"/>
          <w:lang w:val="x-none"/>
        </w:rPr>
        <w:tab/>
        <w:t>de se prononcer sur la qualité de la prestation de table de négociation d’Amundi Intermédiation ;</w:t>
      </w:r>
    </w:p>
    <w:p w:rsidR="00D61EB0" w:rsidRPr="001E431A" w:rsidP="00D61EB0" w14:paraId="59307298" w14:textId="77777777">
      <w:pPr>
        <w:tabs>
          <w:tab w:val="left" w:pos="142"/>
        </w:tabs>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w:t>
      </w:r>
      <w:r w:rsidRPr="001E431A">
        <w:rPr>
          <w:rFonts w:ascii="Arial" w:eastAsia="Arial" w:hAnsi="Arial" w:cs="Arial"/>
          <w:color w:val="000000"/>
          <w:spacing w:val="-1"/>
          <w:sz w:val="20"/>
          <w:szCs w:val="20"/>
          <w:lang w:val="x-none"/>
        </w:rPr>
        <w:tab/>
        <w:t>d’effectuer la revue des courtiers et contreparties, et d’en arrêter la liste pour la période à venir. Amundi AM peut décider de restreindre la liste, ou demander de l’élargir. Toute proposition d’élargissement de la liste des contreparties par Amundi AM lors d’un comité, ou ultérieurement, est alors à nouveau soumise à l’analyse et l’approbation du Comité Risque de Crédit d'Amundi.</w:t>
      </w:r>
    </w:p>
    <w:p w:rsidR="00D61EB0" w:rsidRPr="001E431A" w:rsidP="00D61EB0" w14:paraId="32A90DAE" w14:textId="77777777">
      <w:pPr>
        <w:jc w:val="both"/>
        <w:rPr>
          <w:rFonts w:ascii="Arial" w:eastAsia="Arial" w:hAnsi="Arial" w:cs="Arial"/>
          <w:color w:val="000000"/>
          <w:spacing w:val="-1"/>
          <w:sz w:val="20"/>
          <w:szCs w:val="20"/>
          <w:lang w:val="x-none"/>
        </w:rPr>
      </w:pPr>
    </w:p>
    <w:p w:rsidR="00D61EB0" w:rsidRPr="001E431A" w:rsidP="00D61EB0" w14:paraId="1A7EAB99" w14:textId="77777777">
      <w:pPr>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Les Comités Broker d’Amundi AM rassemblent les Directeurs de Gestion ou leurs représentants, les représentants de la table de négociation d’Amundi Intermédiation, un responsable des opérations, un responsable du Contrôle des Risques, ainsi qu’un responsable de la Conformité.</w:t>
      </w:r>
    </w:p>
    <w:p w:rsidR="00D61EB0" w:rsidRPr="001E431A" w:rsidP="00D61EB0" w14:paraId="0889C8D4" w14:textId="77777777">
      <w:pPr>
        <w:jc w:val="both"/>
        <w:rPr>
          <w:rFonts w:ascii="Arial" w:eastAsia="Arial" w:hAnsi="Arial" w:cs="Arial"/>
          <w:color w:val="000000"/>
          <w:spacing w:val="-1"/>
          <w:sz w:val="20"/>
          <w:szCs w:val="20"/>
          <w:lang w:val="x-none"/>
        </w:rPr>
      </w:pPr>
    </w:p>
    <w:p w:rsidR="00D61EB0" w:rsidRPr="001E431A" w:rsidP="00D61EB0" w14:paraId="28EA21FE" w14:textId="77777777">
      <w:pPr>
        <w:jc w:val="both"/>
        <w:rPr>
          <w:rFonts w:ascii="Arial" w:eastAsia="Arial" w:hAnsi="Arial" w:cs="Arial"/>
          <w:color w:val="000000"/>
          <w:spacing w:val="-1"/>
          <w:sz w:val="20"/>
          <w:szCs w:val="20"/>
          <w:lang w:val="x-none"/>
        </w:rPr>
      </w:pPr>
      <w:r w:rsidRPr="001E431A">
        <w:rPr>
          <w:rFonts w:ascii="Arial" w:eastAsia="Arial" w:hAnsi="Arial" w:cs="Arial"/>
          <w:color w:val="000000"/>
          <w:spacing w:val="-1"/>
          <w:sz w:val="20"/>
          <w:szCs w:val="20"/>
          <w:lang w:val="x-none"/>
        </w:rPr>
        <w:t>Le Fonds peut intervenir sur les instruments dérivés suivants </w:t>
      </w:r>
      <w:r w:rsidRPr="00D61EB0">
        <w:rPr>
          <w:rFonts w:ascii="Arial" w:eastAsia="Arial" w:hAnsi="Arial" w:cs="Arial"/>
          <w:color w:val="000000"/>
          <w:spacing w:val="-1"/>
          <w:sz w:val="20"/>
          <w:szCs w:val="20"/>
          <w:lang w:val="fr-FR"/>
        </w:rPr>
        <w:t>:</w:t>
      </w:r>
    </w:p>
    <w:p w:rsidR="00D61EB0" w:rsidRPr="001E431A" w:rsidP="00D61EB0" w14:paraId="3926D0DC" w14:textId="77777777">
      <w:pPr>
        <w:pStyle w:val="ListParagraph"/>
        <w:numPr>
          <w:ilvl w:val="0"/>
          <w:numId w:val="2"/>
        </w:numPr>
        <w:tabs>
          <w:tab w:val="left" w:pos="284"/>
        </w:tabs>
        <w:autoSpaceDE w:val="0"/>
        <w:autoSpaceDN w:val="0"/>
        <w:adjustRightInd w:val="0"/>
        <w:spacing w:after="0" w:line="240" w:lineRule="auto"/>
        <w:ind w:left="0" w:firstLine="0"/>
        <w:jc w:val="both"/>
        <w:rPr>
          <w:rFonts w:ascii="Arial" w:hAnsi="Arial" w:cs="Arial"/>
          <w:color w:val="000000"/>
          <w:sz w:val="20"/>
          <w:szCs w:val="20"/>
        </w:rPr>
      </w:pPr>
      <w:r w:rsidRPr="001E431A">
        <w:rPr>
          <w:rFonts w:ascii="Arial" w:hAnsi="Arial" w:cs="Arial"/>
          <w:color w:val="000000"/>
          <w:sz w:val="20"/>
          <w:szCs w:val="20"/>
        </w:rPr>
        <w:t>Nature des marchés d’intervention :</w:t>
      </w:r>
    </w:p>
    <w:p w:rsidR="00D61EB0" w:rsidRPr="001E431A" w:rsidP="00D61EB0" w14:paraId="21275B9E" w14:textId="77777777">
      <w:pPr>
        <w:tabs>
          <w:tab w:val="left" w:pos="284"/>
        </w:tabs>
        <w:jc w:val="both"/>
        <w:textAlignment w:val="baseline"/>
        <w:rPr>
          <w:rFonts w:ascii="Arial" w:eastAsia="Arial" w:hAnsi="Arial" w:cs="Arial"/>
          <w:color w:val="000000"/>
          <w:sz w:val="20"/>
          <w:szCs w:val="20"/>
        </w:rPr>
      </w:pPr>
      <w:r w:rsidRPr="001E431A">
        <w:rPr>
          <w:rFonts w:ascii="Wingdings" w:eastAsia="Arial" w:hAnsi="Wingdings" w:cs="Arial"/>
          <w:color w:val="000000"/>
          <w:sz w:val="20"/>
          <w:szCs w:val="20"/>
        </w:rPr>
        <w:sym w:font="Wingdings" w:char="F0FD"/>
      </w:r>
      <w:r w:rsidRPr="001E431A">
        <w:rPr>
          <w:rFonts w:ascii="Arial" w:eastAsia="Arial" w:hAnsi="Arial" w:cs="Arial"/>
          <w:color w:val="000000"/>
          <w:sz w:val="20"/>
          <w:szCs w:val="20"/>
        </w:rPr>
        <w:t xml:space="preserve"> </w:t>
      </w:r>
      <w:r w:rsidRPr="001E431A">
        <w:rPr>
          <w:rFonts w:ascii="Arial" w:eastAsia="Arial" w:hAnsi="Arial" w:cs="Arial"/>
          <w:color w:val="000000"/>
          <w:sz w:val="20"/>
          <w:szCs w:val="20"/>
        </w:rPr>
        <w:t>réglementés</w:t>
      </w:r>
    </w:p>
    <w:p w:rsidR="00D61EB0" w:rsidRPr="001E431A" w:rsidP="00D61EB0" w14:paraId="7DF2921D" w14:textId="77777777">
      <w:pPr>
        <w:tabs>
          <w:tab w:val="left" w:pos="284"/>
        </w:tabs>
        <w:jc w:val="both"/>
        <w:textAlignment w:val="baseline"/>
        <w:rPr>
          <w:rFonts w:ascii="Arial" w:eastAsia="Arial" w:hAnsi="Arial" w:cs="Arial"/>
          <w:color w:val="000000"/>
          <w:sz w:val="20"/>
          <w:szCs w:val="20"/>
        </w:rPr>
      </w:pPr>
      <w:r w:rsidRPr="001E431A">
        <w:rPr>
          <w:rFonts w:ascii="Wingdings" w:eastAsia="Arial" w:hAnsi="Wingdings" w:cs="Arial"/>
          <w:color w:val="000000"/>
          <w:sz w:val="20"/>
          <w:szCs w:val="20"/>
        </w:rPr>
        <w:sym w:font="Wingdings" w:char="F0FD"/>
      </w:r>
      <w:r w:rsidRPr="001E431A">
        <w:rPr>
          <w:rFonts w:ascii="Arial" w:eastAsia="Arial" w:hAnsi="Arial" w:cs="Arial"/>
          <w:color w:val="000000"/>
          <w:sz w:val="20"/>
          <w:szCs w:val="20"/>
        </w:rPr>
        <w:t xml:space="preserve"> </w:t>
      </w:r>
      <w:r w:rsidRPr="001E431A">
        <w:rPr>
          <w:rFonts w:ascii="Arial" w:eastAsia="Arial" w:hAnsi="Arial" w:cs="Arial"/>
          <w:color w:val="000000"/>
          <w:sz w:val="20"/>
          <w:szCs w:val="20"/>
        </w:rPr>
        <w:t>organisés</w:t>
      </w:r>
      <w:r w:rsidRPr="001E431A">
        <w:rPr>
          <w:rFonts w:ascii="Arial" w:eastAsia="Arial" w:hAnsi="Arial" w:cs="Arial"/>
          <w:color w:val="000000"/>
          <w:sz w:val="20"/>
          <w:szCs w:val="20"/>
        </w:rPr>
        <w:t xml:space="preserve"> </w:t>
      </w:r>
    </w:p>
    <w:p w:rsidR="00D61EB0" w:rsidRPr="001E431A" w:rsidP="00D61EB0" w14:paraId="5DDC5AF2" w14:textId="77777777">
      <w:pPr>
        <w:tabs>
          <w:tab w:val="left" w:pos="284"/>
        </w:tabs>
        <w:jc w:val="both"/>
        <w:textAlignment w:val="baseline"/>
        <w:rPr>
          <w:rFonts w:ascii="Arial" w:eastAsia="Arial" w:hAnsi="Arial" w:cs="Arial"/>
          <w:color w:val="000000"/>
          <w:sz w:val="20"/>
          <w:szCs w:val="20"/>
        </w:rPr>
      </w:pPr>
      <w:r w:rsidRPr="001E431A">
        <w:rPr>
          <w:rFonts w:ascii="Wingdings" w:eastAsia="Arial" w:hAnsi="Wingdings" w:cs="Arial"/>
          <w:color w:val="000000"/>
          <w:sz w:val="20"/>
          <w:szCs w:val="20"/>
        </w:rPr>
        <w:sym w:font="Wingdings" w:char="F0FD"/>
      </w:r>
      <w:r w:rsidRPr="001E431A">
        <w:rPr>
          <w:rFonts w:ascii="Arial" w:eastAsia="Arial" w:hAnsi="Arial" w:cs="Arial"/>
          <w:color w:val="000000"/>
          <w:sz w:val="20"/>
          <w:szCs w:val="20"/>
        </w:rPr>
        <w:t xml:space="preserve"> de </w:t>
      </w:r>
      <w:r w:rsidRPr="001E431A">
        <w:rPr>
          <w:rFonts w:ascii="Arial" w:eastAsia="Arial" w:hAnsi="Arial" w:cs="Arial"/>
          <w:color w:val="000000"/>
          <w:sz w:val="20"/>
          <w:szCs w:val="20"/>
        </w:rPr>
        <w:t>gré</w:t>
      </w:r>
      <w:r w:rsidRPr="001E431A">
        <w:rPr>
          <w:rFonts w:ascii="Arial" w:eastAsia="Arial" w:hAnsi="Arial" w:cs="Arial"/>
          <w:color w:val="000000"/>
          <w:sz w:val="20"/>
          <w:szCs w:val="20"/>
        </w:rPr>
        <w:t xml:space="preserve"> à </w:t>
      </w:r>
      <w:r w:rsidRPr="001E431A">
        <w:rPr>
          <w:rFonts w:ascii="Arial" w:eastAsia="Arial" w:hAnsi="Arial" w:cs="Arial"/>
          <w:color w:val="000000"/>
          <w:sz w:val="20"/>
          <w:szCs w:val="20"/>
        </w:rPr>
        <w:t>gré</w:t>
      </w:r>
    </w:p>
    <w:p w:rsidR="00816373" w14:paraId="6999CBDB" w14:textId="4F5DBBEA">
      <w:pPr>
        <w:rPr>
          <w:rFonts w:ascii="Arial" w:eastAsia="Calibri" w:hAnsi="Arial" w:cs="Arial"/>
          <w:color w:val="000000"/>
          <w:sz w:val="20"/>
          <w:szCs w:val="20"/>
          <w:lang w:val="fr-FR"/>
        </w:rPr>
      </w:pPr>
      <w:r>
        <w:rPr>
          <w:rFonts w:ascii="Arial" w:hAnsi="Arial" w:cs="Arial"/>
          <w:color w:val="000000"/>
          <w:sz w:val="20"/>
          <w:szCs w:val="20"/>
        </w:rPr>
        <w:br w:type="page"/>
      </w:r>
    </w:p>
    <w:p w:rsidR="00D61EB0" w:rsidRPr="001E431A" w:rsidP="00D61EB0" w14:paraId="4C2E7782" w14:textId="77777777">
      <w:pPr>
        <w:pStyle w:val="ListParagraph"/>
        <w:numPr>
          <w:ilvl w:val="0"/>
          <w:numId w:val="2"/>
        </w:numPr>
        <w:tabs>
          <w:tab w:val="left" w:pos="284"/>
        </w:tabs>
        <w:autoSpaceDE w:val="0"/>
        <w:autoSpaceDN w:val="0"/>
        <w:adjustRightInd w:val="0"/>
        <w:spacing w:after="0" w:line="240" w:lineRule="auto"/>
        <w:ind w:left="0" w:firstLine="0"/>
        <w:jc w:val="both"/>
        <w:rPr>
          <w:rFonts w:ascii="Arial" w:hAnsi="Arial" w:cs="Arial"/>
          <w:color w:val="000000"/>
          <w:sz w:val="20"/>
          <w:szCs w:val="20"/>
        </w:rPr>
      </w:pPr>
      <w:r w:rsidRPr="001E431A">
        <w:rPr>
          <w:rFonts w:ascii="Arial" w:hAnsi="Arial" w:cs="Arial"/>
          <w:color w:val="000000"/>
          <w:sz w:val="20"/>
          <w:szCs w:val="20"/>
        </w:rPr>
        <w:t>Risques sur lesquels le Fonds désire intervenir :</w:t>
      </w:r>
    </w:p>
    <w:p w:rsidR="00D61EB0" w:rsidRPr="001E431A" w:rsidP="00D61EB0" w14:paraId="2DABA619" w14:textId="77777777">
      <w:pPr>
        <w:tabs>
          <w:tab w:val="left" w:pos="284"/>
        </w:tabs>
        <w:jc w:val="both"/>
        <w:textAlignment w:val="baseline"/>
        <w:rPr>
          <w:rFonts w:ascii="Arial" w:eastAsia="Arial" w:hAnsi="Arial" w:cs="Arial"/>
          <w:color w:val="000000"/>
          <w:sz w:val="20"/>
          <w:szCs w:val="20"/>
        </w:rPr>
      </w:pPr>
      <w:r w:rsidRPr="001E431A">
        <w:rPr>
          <w:rFonts w:ascii="Wingdings" w:eastAsia="Arial" w:hAnsi="Wingdings" w:cs="Arial"/>
          <w:color w:val="000000"/>
          <w:sz w:val="20"/>
          <w:szCs w:val="20"/>
        </w:rPr>
        <w:sym w:font="Wingdings" w:char="F0FD"/>
      </w:r>
      <w:r w:rsidRPr="001E431A">
        <w:rPr>
          <w:rFonts w:ascii="Arial" w:eastAsia="Arial" w:hAnsi="Arial" w:cs="Arial"/>
          <w:color w:val="000000"/>
          <w:sz w:val="20"/>
          <w:szCs w:val="20"/>
        </w:rPr>
        <w:t xml:space="preserve"> action</w:t>
      </w:r>
    </w:p>
    <w:p w:rsidR="00D61EB0" w:rsidRPr="001E431A" w:rsidP="00D61EB0" w14:paraId="2D0FC7D4" w14:textId="77777777">
      <w:pPr>
        <w:tabs>
          <w:tab w:val="left" w:pos="284"/>
        </w:tabs>
        <w:jc w:val="both"/>
        <w:textAlignment w:val="baseline"/>
        <w:rPr>
          <w:rFonts w:ascii="Arial" w:eastAsia="Arial" w:hAnsi="Arial" w:cs="Arial"/>
          <w:color w:val="000000"/>
          <w:sz w:val="20"/>
          <w:szCs w:val="20"/>
        </w:rPr>
      </w:pPr>
      <w:r w:rsidRPr="001E431A">
        <w:rPr>
          <w:rFonts w:ascii="Wingdings" w:eastAsia="Arial" w:hAnsi="Wingdings" w:cs="Arial"/>
          <w:color w:val="000000"/>
          <w:sz w:val="20"/>
          <w:szCs w:val="20"/>
        </w:rPr>
        <w:sym w:font="Wingdings" w:char="F0A8"/>
      </w:r>
      <w:r w:rsidRPr="001E431A">
        <w:rPr>
          <w:rFonts w:ascii="Arial" w:eastAsia="Arial" w:hAnsi="Arial" w:cs="Arial"/>
          <w:color w:val="000000"/>
          <w:sz w:val="20"/>
          <w:szCs w:val="20"/>
        </w:rPr>
        <w:t xml:space="preserve"> </w:t>
      </w:r>
      <w:r w:rsidRPr="001E431A">
        <w:rPr>
          <w:rFonts w:ascii="Arial" w:eastAsia="Arial" w:hAnsi="Arial" w:cs="Arial"/>
          <w:color w:val="000000"/>
          <w:sz w:val="20"/>
          <w:szCs w:val="20"/>
        </w:rPr>
        <w:t>taux</w:t>
      </w:r>
    </w:p>
    <w:p w:rsidR="00D61EB0" w:rsidRPr="001E431A" w:rsidP="00D61EB0" w14:paraId="5171D313" w14:textId="77777777">
      <w:pPr>
        <w:tabs>
          <w:tab w:val="left" w:pos="284"/>
        </w:tabs>
        <w:jc w:val="both"/>
        <w:textAlignment w:val="baseline"/>
        <w:rPr>
          <w:rFonts w:ascii="Arial" w:eastAsia="Arial" w:hAnsi="Arial" w:cs="Arial"/>
          <w:color w:val="000000"/>
          <w:sz w:val="20"/>
          <w:szCs w:val="20"/>
        </w:rPr>
      </w:pPr>
      <w:r w:rsidRPr="001E431A">
        <w:rPr>
          <w:rFonts w:ascii="Wingdings" w:eastAsia="Arial" w:hAnsi="Wingdings" w:cs="Arial"/>
          <w:color w:val="000000"/>
          <w:sz w:val="20"/>
          <w:szCs w:val="20"/>
        </w:rPr>
        <w:sym w:font="Wingdings" w:char="F0FD"/>
      </w:r>
      <w:r w:rsidRPr="001E431A">
        <w:rPr>
          <w:rFonts w:ascii="Arial" w:eastAsia="Arial" w:hAnsi="Arial" w:cs="Arial"/>
          <w:color w:val="000000"/>
          <w:sz w:val="20"/>
          <w:szCs w:val="20"/>
        </w:rPr>
        <w:t xml:space="preserve"> change</w:t>
      </w:r>
    </w:p>
    <w:p w:rsidR="00D61EB0" w:rsidRPr="001E431A" w:rsidP="00D61EB0" w14:paraId="16BB6F8C" w14:textId="77777777">
      <w:pPr>
        <w:tabs>
          <w:tab w:val="left" w:pos="284"/>
        </w:tabs>
        <w:jc w:val="both"/>
        <w:textAlignment w:val="baseline"/>
        <w:rPr>
          <w:rFonts w:ascii="Arial" w:eastAsia="Arial" w:hAnsi="Arial" w:cs="Arial"/>
          <w:color w:val="000000"/>
          <w:sz w:val="20"/>
          <w:szCs w:val="20"/>
        </w:rPr>
      </w:pPr>
      <w:r w:rsidRPr="001E431A">
        <w:rPr>
          <w:rFonts w:ascii="Wingdings" w:eastAsia="Arial" w:hAnsi="Wingdings" w:cs="Arial"/>
          <w:color w:val="000000"/>
          <w:sz w:val="20"/>
          <w:szCs w:val="20"/>
        </w:rPr>
        <w:sym w:font="Wingdings" w:char="F0A8"/>
      </w:r>
      <w:r w:rsidRPr="001E431A">
        <w:rPr>
          <w:rFonts w:ascii="Arial" w:eastAsia="Arial" w:hAnsi="Arial" w:cs="Arial"/>
          <w:color w:val="000000"/>
          <w:sz w:val="20"/>
          <w:szCs w:val="20"/>
        </w:rPr>
        <w:t xml:space="preserve"> </w:t>
      </w:r>
      <w:r w:rsidRPr="001E431A">
        <w:rPr>
          <w:rFonts w:ascii="Arial" w:eastAsia="Arial" w:hAnsi="Arial" w:cs="Arial"/>
          <w:color w:val="000000"/>
          <w:sz w:val="20"/>
          <w:szCs w:val="20"/>
        </w:rPr>
        <w:t>crédit</w:t>
      </w:r>
    </w:p>
    <w:p w:rsidR="00D61EB0" w:rsidRPr="001E431A" w:rsidP="00D61EB0" w14:paraId="2FB31A10" w14:textId="77777777">
      <w:pPr>
        <w:tabs>
          <w:tab w:val="left" w:pos="284"/>
        </w:tabs>
        <w:jc w:val="both"/>
        <w:textAlignment w:val="baseline"/>
        <w:rPr>
          <w:rFonts w:ascii="Arial" w:eastAsia="Arial" w:hAnsi="Arial" w:cs="Arial"/>
          <w:color w:val="000000"/>
          <w:sz w:val="20"/>
          <w:szCs w:val="20"/>
        </w:rPr>
      </w:pPr>
      <w:r w:rsidRPr="001E431A">
        <w:rPr>
          <w:rFonts w:ascii="Wingdings" w:eastAsia="Arial" w:hAnsi="Wingdings" w:cs="Arial"/>
          <w:color w:val="000000"/>
          <w:sz w:val="20"/>
          <w:szCs w:val="20"/>
        </w:rPr>
        <w:sym w:font="Wingdings" w:char="F0A8"/>
      </w:r>
      <w:r w:rsidRPr="001E431A">
        <w:rPr>
          <w:rFonts w:ascii="Arial" w:eastAsia="Arial" w:hAnsi="Arial" w:cs="Arial"/>
          <w:color w:val="000000"/>
          <w:sz w:val="20"/>
          <w:szCs w:val="20"/>
        </w:rPr>
        <w:t xml:space="preserve"> </w:t>
      </w:r>
      <w:r w:rsidRPr="001E431A">
        <w:rPr>
          <w:rFonts w:ascii="Arial" w:eastAsia="Arial" w:hAnsi="Arial" w:cs="Arial"/>
          <w:color w:val="000000"/>
          <w:sz w:val="20"/>
          <w:szCs w:val="20"/>
        </w:rPr>
        <w:t>volatilité</w:t>
      </w:r>
    </w:p>
    <w:p w:rsidR="00D61EB0" w:rsidRPr="001E431A" w:rsidP="00D61EB0" w14:paraId="04FBA73E" w14:textId="77777777">
      <w:pPr>
        <w:tabs>
          <w:tab w:val="left" w:pos="284"/>
        </w:tabs>
        <w:jc w:val="both"/>
        <w:textAlignment w:val="baseline"/>
        <w:rPr>
          <w:rFonts w:ascii="Arial" w:eastAsia="Arial" w:hAnsi="Arial" w:cs="Arial"/>
          <w:color w:val="000000"/>
          <w:sz w:val="20"/>
          <w:szCs w:val="20"/>
        </w:rPr>
      </w:pPr>
    </w:p>
    <w:p w:rsidR="00D61EB0" w:rsidRPr="001E431A" w:rsidP="00D61EB0" w14:paraId="454B9751" w14:textId="77777777">
      <w:pPr>
        <w:pStyle w:val="ListParagraph"/>
        <w:numPr>
          <w:ilvl w:val="0"/>
          <w:numId w:val="2"/>
        </w:numPr>
        <w:tabs>
          <w:tab w:val="left" w:pos="284"/>
        </w:tabs>
        <w:autoSpaceDE w:val="0"/>
        <w:autoSpaceDN w:val="0"/>
        <w:adjustRightInd w:val="0"/>
        <w:spacing w:after="0" w:line="240" w:lineRule="auto"/>
        <w:ind w:left="0" w:firstLine="0"/>
        <w:jc w:val="both"/>
        <w:rPr>
          <w:rFonts w:ascii="Arial" w:hAnsi="Arial" w:cs="Arial"/>
          <w:color w:val="000000"/>
          <w:sz w:val="20"/>
          <w:szCs w:val="20"/>
        </w:rPr>
      </w:pPr>
      <w:r w:rsidRPr="001E431A">
        <w:rPr>
          <w:rFonts w:ascii="Arial" w:hAnsi="Arial" w:cs="Arial"/>
          <w:color w:val="000000"/>
          <w:sz w:val="20"/>
          <w:szCs w:val="20"/>
        </w:rPr>
        <w:t>Nature des interventions, l’ensemble des opérations devant être limité à la réalisation de l’objectif de gestion :</w:t>
      </w:r>
    </w:p>
    <w:p w:rsidR="00D61EB0" w:rsidRPr="00D61EB0" w:rsidP="00D61EB0" w14:paraId="7FF8D530" w14:textId="77777777">
      <w:pPr>
        <w:tabs>
          <w:tab w:val="left" w:pos="284"/>
        </w:tabs>
        <w:jc w:val="both"/>
        <w:textAlignment w:val="baseline"/>
        <w:rPr>
          <w:rFonts w:ascii="Arial" w:eastAsia="Arial" w:hAnsi="Arial" w:cs="Arial"/>
          <w:color w:val="000000"/>
          <w:sz w:val="20"/>
          <w:szCs w:val="20"/>
          <w:lang w:val="fr-FR"/>
        </w:rPr>
      </w:pPr>
      <w:r w:rsidRPr="001E431A">
        <w:rPr>
          <w:rFonts w:ascii="Wingdings" w:eastAsia="Arial" w:hAnsi="Wingdings" w:cs="Arial"/>
          <w:color w:val="000000"/>
          <w:sz w:val="20"/>
          <w:szCs w:val="20"/>
        </w:rPr>
        <w:sym w:font="Wingdings" w:char="F0FD"/>
      </w:r>
      <w:r w:rsidRPr="00D61EB0">
        <w:rPr>
          <w:rFonts w:ascii="Arial" w:eastAsia="Arial" w:hAnsi="Arial" w:cs="Arial"/>
          <w:color w:val="000000"/>
          <w:sz w:val="20"/>
          <w:szCs w:val="20"/>
          <w:lang w:val="fr-FR"/>
        </w:rPr>
        <w:t xml:space="preserve"> couverture</w:t>
      </w:r>
    </w:p>
    <w:p w:rsidR="00D61EB0" w:rsidRPr="00D61EB0" w:rsidP="00D61EB0" w14:paraId="08179FAE" w14:textId="77777777">
      <w:pPr>
        <w:tabs>
          <w:tab w:val="left" w:pos="284"/>
        </w:tabs>
        <w:jc w:val="both"/>
        <w:textAlignment w:val="baseline"/>
        <w:rPr>
          <w:rFonts w:ascii="Arial" w:eastAsia="Arial" w:hAnsi="Arial" w:cs="Arial"/>
          <w:color w:val="000000"/>
          <w:sz w:val="20"/>
          <w:szCs w:val="20"/>
          <w:lang w:val="fr-FR"/>
        </w:rPr>
      </w:pPr>
      <w:r w:rsidRPr="001E431A">
        <w:rPr>
          <w:rFonts w:ascii="Wingdings" w:eastAsia="Arial" w:hAnsi="Wingdings" w:cs="Arial"/>
          <w:color w:val="000000"/>
          <w:sz w:val="20"/>
          <w:szCs w:val="20"/>
        </w:rPr>
        <w:sym w:font="Wingdings" w:char="F0FD"/>
      </w:r>
      <w:r w:rsidRPr="00D61EB0">
        <w:rPr>
          <w:rFonts w:ascii="Arial" w:eastAsia="Arial" w:hAnsi="Arial" w:cs="Arial"/>
          <w:color w:val="000000"/>
          <w:sz w:val="20"/>
          <w:szCs w:val="20"/>
          <w:lang w:val="fr-FR"/>
        </w:rPr>
        <w:t xml:space="preserve"> exposition </w:t>
      </w:r>
    </w:p>
    <w:p w:rsidR="00D61EB0" w:rsidRPr="00D61EB0" w:rsidP="00D61EB0" w14:paraId="0D5598D3" w14:textId="77777777">
      <w:pPr>
        <w:tabs>
          <w:tab w:val="left" w:pos="284"/>
        </w:tabs>
        <w:jc w:val="both"/>
        <w:textAlignment w:val="baseline"/>
        <w:rPr>
          <w:rFonts w:ascii="Arial" w:eastAsia="Arial" w:hAnsi="Arial" w:cs="Arial"/>
          <w:color w:val="000000"/>
          <w:sz w:val="20"/>
          <w:szCs w:val="20"/>
          <w:lang w:val="fr-FR"/>
        </w:rPr>
      </w:pPr>
      <w:r w:rsidRPr="001E431A">
        <w:rPr>
          <w:rFonts w:ascii="Wingdings" w:eastAsia="Arial" w:hAnsi="Wingdings" w:cs="Arial"/>
          <w:color w:val="000000"/>
          <w:sz w:val="20"/>
          <w:szCs w:val="20"/>
        </w:rPr>
        <w:sym w:font="Wingdings" w:char="F0A8"/>
      </w:r>
      <w:r w:rsidRPr="00D61EB0">
        <w:rPr>
          <w:rFonts w:ascii="Arial" w:eastAsia="Arial" w:hAnsi="Arial" w:cs="Arial"/>
          <w:color w:val="000000"/>
          <w:sz w:val="20"/>
          <w:szCs w:val="20"/>
          <w:lang w:val="fr-FR"/>
        </w:rPr>
        <w:t xml:space="preserve"> arbitrage </w:t>
      </w:r>
    </w:p>
    <w:p w:rsidR="00D61EB0" w:rsidRPr="00D61EB0" w:rsidP="00D61EB0" w14:paraId="27D49C7D" w14:textId="77777777">
      <w:pPr>
        <w:tabs>
          <w:tab w:val="left" w:pos="284"/>
        </w:tabs>
        <w:jc w:val="both"/>
        <w:textAlignment w:val="baseline"/>
        <w:rPr>
          <w:rFonts w:ascii="Arial" w:eastAsia="Arial" w:hAnsi="Arial" w:cs="Arial"/>
          <w:color w:val="000000"/>
          <w:sz w:val="20"/>
          <w:szCs w:val="20"/>
          <w:lang w:val="fr-FR"/>
        </w:rPr>
      </w:pPr>
      <w:r w:rsidRPr="001E431A">
        <w:rPr>
          <w:rFonts w:ascii="Wingdings" w:eastAsia="Arial" w:hAnsi="Wingdings" w:cs="Arial"/>
          <w:color w:val="000000"/>
          <w:sz w:val="20"/>
          <w:szCs w:val="20"/>
        </w:rPr>
        <w:sym w:font="Wingdings" w:char="F0A8"/>
      </w:r>
      <w:r w:rsidRPr="00D61EB0">
        <w:rPr>
          <w:rFonts w:ascii="Arial" w:eastAsia="Arial" w:hAnsi="Arial" w:cs="Arial"/>
          <w:color w:val="000000"/>
          <w:sz w:val="20"/>
          <w:szCs w:val="20"/>
          <w:lang w:val="fr-FR"/>
        </w:rPr>
        <w:t xml:space="preserve"> trading </w:t>
      </w:r>
    </w:p>
    <w:p w:rsidR="00D61EB0" w:rsidRPr="00D61EB0" w:rsidP="00D61EB0" w14:paraId="228425FA" w14:textId="77777777">
      <w:pPr>
        <w:tabs>
          <w:tab w:val="left" w:pos="284"/>
        </w:tabs>
        <w:jc w:val="both"/>
        <w:textAlignment w:val="baseline"/>
        <w:rPr>
          <w:rFonts w:ascii="Arial" w:eastAsia="Arial" w:hAnsi="Arial" w:cs="Arial"/>
          <w:color w:val="000000"/>
          <w:sz w:val="20"/>
          <w:szCs w:val="20"/>
          <w:lang w:val="fr-FR"/>
        </w:rPr>
      </w:pPr>
      <w:r w:rsidRPr="001E431A">
        <w:rPr>
          <w:rFonts w:ascii="Wingdings" w:eastAsia="Arial" w:hAnsi="Wingdings" w:cs="Arial"/>
          <w:color w:val="000000"/>
          <w:sz w:val="20"/>
          <w:szCs w:val="20"/>
        </w:rPr>
        <w:sym w:font="Wingdings" w:char="F0A8"/>
      </w:r>
      <w:r w:rsidRPr="00D61EB0">
        <w:rPr>
          <w:rFonts w:ascii="Arial" w:eastAsia="Arial" w:hAnsi="Arial" w:cs="Arial"/>
          <w:color w:val="000000"/>
          <w:sz w:val="20"/>
          <w:szCs w:val="20"/>
          <w:lang w:val="fr-FR"/>
        </w:rPr>
        <w:t xml:space="preserve"> autre nature</w:t>
      </w:r>
    </w:p>
    <w:p w:rsidR="00D61EB0" w:rsidRPr="00D61EB0" w:rsidP="00D61EB0" w14:paraId="42B1B4FF" w14:textId="77777777">
      <w:pPr>
        <w:tabs>
          <w:tab w:val="left" w:pos="284"/>
        </w:tabs>
        <w:jc w:val="both"/>
        <w:textAlignment w:val="baseline"/>
        <w:rPr>
          <w:rFonts w:ascii="Arial" w:eastAsia="Arial" w:hAnsi="Arial" w:cs="Arial"/>
          <w:color w:val="000000"/>
          <w:sz w:val="20"/>
          <w:szCs w:val="20"/>
          <w:lang w:val="fr-FR"/>
        </w:rPr>
      </w:pPr>
    </w:p>
    <w:p w:rsidR="00D61EB0" w:rsidRPr="001E431A" w:rsidP="00D61EB0" w14:paraId="367977EC" w14:textId="77777777">
      <w:pPr>
        <w:numPr>
          <w:ilvl w:val="0"/>
          <w:numId w:val="2"/>
        </w:numPr>
        <w:tabs>
          <w:tab w:val="left" w:pos="284"/>
        </w:tabs>
        <w:ind w:left="426" w:hanging="426"/>
        <w:jc w:val="both"/>
        <w:rPr>
          <w:rFonts w:ascii="Arial" w:hAnsi="Arial" w:cs="Arial"/>
          <w:color w:val="000000"/>
          <w:sz w:val="20"/>
          <w:szCs w:val="20"/>
        </w:rPr>
      </w:pPr>
      <w:r w:rsidRPr="001E431A">
        <w:rPr>
          <w:rFonts w:ascii="Arial" w:hAnsi="Arial" w:cs="Arial"/>
          <w:color w:val="000000"/>
          <w:sz w:val="20"/>
          <w:szCs w:val="20"/>
        </w:rPr>
        <w:t xml:space="preserve">Nature des instruments </w:t>
      </w:r>
      <w:r w:rsidRPr="001E431A">
        <w:rPr>
          <w:rFonts w:ascii="Arial" w:hAnsi="Arial" w:cs="Arial"/>
          <w:color w:val="000000"/>
          <w:sz w:val="20"/>
          <w:szCs w:val="20"/>
        </w:rPr>
        <w:t>utilisés</w:t>
      </w:r>
      <w:r w:rsidRPr="001E431A">
        <w:rPr>
          <w:rFonts w:ascii="Arial" w:hAnsi="Arial" w:cs="Arial"/>
          <w:color w:val="000000"/>
          <w:sz w:val="20"/>
          <w:szCs w:val="20"/>
        </w:rPr>
        <w:t xml:space="preserve"> :</w:t>
      </w:r>
    </w:p>
    <w:p w:rsidR="00D61EB0" w:rsidRPr="001E431A" w:rsidP="00D61EB0" w14:paraId="6CFA780A" w14:textId="77777777">
      <w:pPr>
        <w:tabs>
          <w:tab w:val="left" w:pos="284"/>
        </w:tabs>
        <w:jc w:val="both"/>
        <w:textAlignment w:val="baseline"/>
        <w:rPr>
          <w:rFonts w:ascii="Arial" w:eastAsia="Arial" w:hAnsi="Arial" w:cs="Arial"/>
          <w:color w:val="000000"/>
          <w:sz w:val="20"/>
          <w:szCs w:val="20"/>
        </w:rPr>
      </w:pPr>
      <w:r w:rsidRPr="001E431A">
        <w:rPr>
          <w:rFonts w:ascii="Wingdings" w:eastAsia="Arial" w:hAnsi="Wingdings" w:cs="Arial"/>
          <w:color w:val="000000"/>
          <w:sz w:val="20"/>
          <w:szCs w:val="20"/>
        </w:rPr>
        <w:sym w:font="Wingdings" w:char="F0FD"/>
      </w:r>
      <w:r w:rsidRPr="001E431A">
        <w:rPr>
          <w:rFonts w:ascii="Arial" w:eastAsia="Arial" w:hAnsi="Arial" w:cs="Arial"/>
          <w:color w:val="000000"/>
          <w:sz w:val="20"/>
          <w:szCs w:val="20"/>
        </w:rPr>
        <w:t xml:space="preserve"> futures : sur actions et indices</w:t>
      </w:r>
    </w:p>
    <w:p w:rsidR="00D61EB0" w:rsidRPr="00D61EB0" w:rsidP="00D61EB0" w14:paraId="5FDC19A2" w14:textId="77777777">
      <w:pPr>
        <w:tabs>
          <w:tab w:val="left" w:pos="284"/>
        </w:tabs>
        <w:jc w:val="both"/>
        <w:textAlignment w:val="baseline"/>
        <w:rPr>
          <w:rFonts w:ascii="Arial" w:eastAsia="Arial" w:hAnsi="Arial" w:cs="Arial"/>
          <w:color w:val="000000"/>
          <w:sz w:val="20"/>
          <w:szCs w:val="20"/>
          <w:lang w:val="fr-FR"/>
        </w:rPr>
      </w:pPr>
      <w:r w:rsidRPr="001E431A">
        <w:rPr>
          <w:rFonts w:ascii="Wingdings" w:eastAsia="Arial" w:hAnsi="Wingdings" w:cs="Arial"/>
          <w:color w:val="000000"/>
          <w:sz w:val="20"/>
          <w:szCs w:val="20"/>
        </w:rPr>
        <w:sym w:font="Wingdings" w:char="F0A8"/>
      </w:r>
      <w:r w:rsidRPr="00D61EB0">
        <w:rPr>
          <w:rFonts w:ascii="Arial" w:eastAsia="Arial" w:hAnsi="Arial" w:cs="Arial"/>
          <w:color w:val="000000"/>
          <w:sz w:val="20"/>
          <w:szCs w:val="20"/>
          <w:lang w:val="fr-FR"/>
        </w:rPr>
        <w:t xml:space="preserve"> contrat d’échange à terme sur rendement global (« total return swap ») : sur actions et indices.</w:t>
      </w:r>
    </w:p>
    <w:p w:rsidR="00D61EB0" w:rsidRPr="00D61EB0" w:rsidP="00D61EB0" w14:paraId="19D03B63" w14:textId="77777777">
      <w:pPr>
        <w:ind w:left="142"/>
        <w:jc w:val="both"/>
        <w:textAlignment w:val="baseline"/>
        <w:rPr>
          <w:rFonts w:ascii="Arial" w:eastAsia="Arial" w:hAnsi="Arial"/>
          <w:color w:val="000000"/>
          <w:spacing w:val="-2"/>
          <w:sz w:val="20"/>
          <w:lang w:val="fr-FR"/>
        </w:rPr>
      </w:pPr>
      <w:r w:rsidRPr="00D61EB0">
        <w:rPr>
          <w:rFonts w:ascii="Arial" w:eastAsia="Arial" w:hAnsi="Arial"/>
          <w:color w:val="000000"/>
          <w:spacing w:val="3"/>
          <w:sz w:val="20"/>
          <w:lang w:val="fr-FR"/>
        </w:rPr>
        <w:t xml:space="preserve">Le Fonds pourra conclure des contrats d’échange de deux combinaisons parmi les types de flux </w:t>
      </w:r>
      <w:r w:rsidRPr="00D61EB0">
        <w:rPr>
          <w:rFonts w:ascii="Arial" w:eastAsia="Arial" w:hAnsi="Arial"/>
          <w:color w:val="000000"/>
          <w:spacing w:val="-2"/>
          <w:sz w:val="20"/>
          <w:lang w:val="fr-FR"/>
        </w:rPr>
        <w:t>suivants :</w:t>
      </w:r>
    </w:p>
    <w:p w:rsidR="00D61EB0" w:rsidRPr="00D61EB0" w:rsidP="00D61EB0" w14:paraId="64830F24" w14:textId="77777777">
      <w:pPr>
        <w:ind w:left="142"/>
        <w:jc w:val="both"/>
        <w:textAlignment w:val="baseline"/>
        <w:rPr>
          <w:rFonts w:ascii="Arial" w:eastAsia="Arial" w:hAnsi="Arial"/>
          <w:color w:val="000000"/>
          <w:spacing w:val="-1"/>
          <w:sz w:val="20"/>
          <w:lang w:val="fr-FR"/>
        </w:rPr>
      </w:pPr>
      <w:r w:rsidRPr="00D61EB0">
        <w:rPr>
          <w:rFonts w:ascii="Arial" w:eastAsia="Arial" w:hAnsi="Arial"/>
          <w:color w:val="000000"/>
          <w:spacing w:val="-1"/>
          <w:sz w:val="20"/>
          <w:lang w:val="fr-FR"/>
        </w:rPr>
        <w:t>- taux fixe</w:t>
      </w:r>
    </w:p>
    <w:p w:rsidR="00D61EB0" w:rsidRPr="00D61EB0" w:rsidP="00D61EB0" w14:paraId="12E8D18A" w14:textId="77777777">
      <w:pPr>
        <w:ind w:left="142"/>
        <w:jc w:val="both"/>
        <w:textAlignment w:val="baseline"/>
        <w:rPr>
          <w:rFonts w:ascii="Arial" w:eastAsia="Arial" w:hAnsi="Arial"/>
          <w:color w:val="000000"/>
          <w:sz w:val="20"/>
          <w:lang w:val="fr-FR"/>
        </w:rPr>
      </w:pPr>
      <w:r w:rsidRPr="00D61EB0">
        <w:rPr>
          <w:rFonts w:ascii="Arial" w:eastAsia="Arial" w:hAnsi="Arial"/>
          <w:color w:val="000000"/>
          <w:sz w:val="20"/>
          <w:lang w:val="fr-FR"/>
        </w:rPr>
        <w:t>- taux variable (indexés sur l’</w:t>
      </w:r>
      <w:r w:rsidRPr="00D61EB0">
        <w:rPr>
          <w:rFonts w:ascii="Arial" w:eastAsia="Arial" w:hAnsi="Arial"/>
          <w:color w:val="000000"/>
          <w:sz w:val="20"/>
          <w:lang w:val="fr-FR"/>
        </w:rPr>
        <w:t>Eonia</w:t>
      </w:r>
      <w:r w:rsidRPr="00D61EB0">
        <w:rPr>
          <w:rFonts w:ascii="Arial" w:eastAsia="Arial" w:hAnsi="Arial"/>
          <w:color w:val="000000"/>
          <w:sz w:val="20"/>
          <w:lang w:val="fr-FR"/>
        </w:rPr>
        <w:t>, l’Euribor, ou toute autre référence de marché)</w:t>
      </w:r>
    </w:p>
    <w:p w:rsidR="00D61EB0" w:rsidRPr="00D61EB0" w:rsidP="00D61EB0" w14:paraId="08BB5F79" w14:textId="77777777">
      <w:pPr>
        <w:ind w:left="142"/>
        <w:jc w:val="both"/>
        <w:textAlignment w:val="baseline"/>
        <w:rPr>
          <w:rFonts w:ascii="Arial" w:eastAsia="Arial" w:hAnsi="Arial"/>
          <w:color w:val="000000"/>
          <w:sz w:val="20"/>
          <w:lang w:val="fr-FR"/>
        </w:rPr>
      </w:pPr>
      <w:r w:rsidRPr="00D61EB0">
        <w:rPr>
          <w:rFonts w:ascii="Arial" w:eastAsia="Arial" w:hAnsi="Arial"/>
          <w:color w:val="000000"/>
          <w:spacing w:val="3"/>
          <w:sz w:val="20"/>
          <w:lang w:val="fr-FR"/>
        </w:rPr>
        <w:t xml:space="preserve">- performance liée à une ou plusieurs devises, actions, indices boursiers ou titres cotés, OPC ou </w:t>
      </w:r>
      <w:r w:rsidRPr="00D61EB0">
        <w:rPr>
          <w:rFonts w:ascii="Arial" w:eastAsia="Arial" w:hAnsi="Arial"/>
          <w:color w:val="000000"/>
          <w:sz w:val="20"/>
          <w:lang w:val="fr-FR"/>
        </w:rPr>
        <w:t>fonds d’investissement</w:t>
      </w:r>
    </w:p>
    <w:p w:rsidR="00D61EB0" w:rsidRPr="00D61EB0" w:rsidP="00D61EB0" w14:paraId="174A4B40" w14:textId="77777777">
      <w:pPr>
        <w:ind w:left="142"/>
        <w:jc w:val="both"/>
        <w:textAlignment w:val="baseline"/>
        <w:rPr>
          <w:rFonts w:ascii="Arial" w:eastAsia="Arial" w:hAnsi="Arial"/>
          <w:color w:val="000000"/>
          <w:sz w:val="20"/>
          <w:lang w:val="fr-FR"/>
        </w:rPr>
      </w:pPr>
      <w:r w:rsidRPr="00D61EB0">
        <w:rPr>
          <w:rFonts w:ascii="Arial" w:eastAsia="Arial" w:hAnsi="Arial"/>
          <w:color w:val="000000"/>
          <w:sz w:val="20"/>
          <w:lang w:val="fr-FR"/>
        </w:rPr>
        <w:t>- dividendes (nets ou bruts)</w:t>
      </w:r>
    </w:p>
    <w:p w:rsidR="00D61EB0" w:rsidRPr="00D61EB0" w:rsidP="00D61EB0" w14:paraId="183582C3" w14:textId="77777777">
      <w:pPr>
        <w:tabs>
          <w:tab w:val="left" w:pos="284"/>
        </w:tabs>
        <w:jc w:val="both"/>
        <w:textAlignment w:val="baseline"/>
        <w:rPr>
          <w:rFonts w:ascii="Arial" w:eastAsia="Arial" w:hAnsi="Arial" w:cs="Arial"/>
          <w:color w:val="000000"/>
          <w:sz w:val="20"/>
          <w:szCs w:val="20"/>
          <w:lang w:val="fr-FR"/>
        </w:rPr>
      </w:pPr>
      <w:r w:rsidRPr="001E431A">
        <w:rPr>
          <w:rFonts w:ascii="Wingdings" w:eastAsia="Arial" w:hAnsi="Wingdings" w:cs="Arial"/>
          <w:color w:val="000000"/>
          <w:sz w:val="20"/>
          <w:szCs w:val="20"/>
        </w:rPr>
        <w:sym w:font="Wingdings" w:char="F0A8"/>
      </w:r>
      <w:r w:rsidRPr="00D61EB0">
        <w:rPr>
          <w:rFonts w:ascii="Arial" w:eastAsia="Arial" w:hAnsi="Arial" w:cs="Arial"/>
          <w:color w:val="000000"/>
          <w:sz w:val="20"/>
          <w:szCs w:val="20"/>
          <w:lang w:val="fr-FR"/>
        </w:rPr>
        <w:t xml:space="preserve"> dérivés de crédit : </w:t>
      </w:r>
      <w:r w:rsidRPr="00D61EB0">
        <w:rPr>
          <w:rFonts w:ascii="Arial" w:eastAsia="Arial" w:hAnsi="Arial" w:cs="Arial"/>
          <w:color w:val="000000"/>
          <w:sz w:val="20"/>
          <w:szCs w:val="20"/>
          <w:lang w:val="fr-FR"/>
        </w:rPr>
        <w:t>credit</w:t>
      </w:r>
      <w:r w:rsidRPr="00D61EB0">
        <w:rPr>
          <w:rFonts w:ascii="Arial" w:eastAsia="Arial" w:hAnsi="Arial" w:cs="Arial"/>
          <w:color w:val="000000"/>
          <w:sz w:val="20"/>
          <w:szCs w:val="20"/>
          <w:lang w:val="fr-FR"/>
        </w:rPr>
        <w:t xml:space="preserve"> default swaps</w:t>
      </w:r>
    </w:p>
    <w:p w:rsidR="00D61EB0" w:rsidRPr="00D61EB0" w:rsidP="00D61EB0" w14:paraId="57E62245" w14:textId="77777777">
      <w:pPr>
        <w:tabs>
          <w:tab w:val="left" w:pos="284"/>
        </w:tabs>
        <w:jc w:val="both"/>
        <w:textAlignment w:val="baseline"/>
        <w:rPr>
          <w:rFonts w:ascii="Arial" w:eastAsia="Arial" w:hAnsi="Arial" w:cs="Arial"/>
          <w:color w:val="000000"/>
          <w:sz w:val="20"/>
          <w:szCs w:val="20"/>
          <w:lang w:val="fr-FR"/>
        </w:rPr>
      </w:pPr>
    </w:p>
    <w:p w:rsidR="00D61EB0" w:rsidRPr="001E431A" w:rsidP="00D61EB0" w14:paraId="32BD8A15" w14:textId="77777777">
      <w:pPr>
        <w:pStyle w:val="ListParagraph"/>
        <w:numPr>
          <w:ilvl w:val="0"/>
          <w:numId w:val="2"/>
        </w:numPr>
        <w:tabs>
          <w:tab w:val="left" w:pos="284"/>
        </w:tabs>
        <w:autoSpaceDE w:val="0"/>
        <w:autoSpaceDN w:val="0"/>
        <w:adjustRightInd w:val="0"/>
        <w:spacing w:after="0" w:line="240" w:lineRule="auto"/>
        <w:ind w:left="0" w:firstLine="0"/>
        <w:jc w:val="both"/>
        <w:rPr>
          <w:rFonts w:ascii="Arial" w:hAnsi="Arial" w:cs="Arial"/>
          <w:color w:val="000000"/>
          <w:sz w:val="20"/>
          <w:szCs w:val="20"/>
        </w:rPr>
      </w:pPr>
      <w:r w:rsidRPr="001E431A">
        <w:rPr>
          <w:rFonts w:ascii="Arial" w:hAnsi="Arial" w:cs="Arial"/>
          <w:color w:val="000000"/>
          <w:sz w:val="20"/>
          <w:szCs w:val="20"/>
        </w:rPr>
        <w:t>Stratégie d’utilisation des dérivés pour atteindre l’objectif de gestion :</w:t>
      </w:r>
    </w:p>
    <w:p w:rsidR="00D61EB0" w:rsidRPr="001E431A" w:rsidP="00D61EB0" w14:paraId="2C671961" w14:textId="79F036AA">
      <w:pPr>
        <w:pStyle w:val="BodyText"/>
        <w:tabs>
          <w:tab w:val="left" w:pos="284"/>
        </w:tabs>
        <w:ind w:left="0" w:right="264"/>
        <w:jc w:val="both"/>
        <w:rPr>
          <w:rFonts w:cs="Arial"/>
          <w:color w:val="000000"/>
          <w:lang w:val="fr-FR"/>
        </w:rPr>
      </w:pPr>
      <w:r>
        <w:rPr>
          <w:noProof/>
        </w:rPr>
        <w:drawing>
          <wp:inline distT="0" distB="0" distL="0" distR="0">
            <wp:extent cx="104775" cy="104775"/>
            <wp:effectExtent l="0" t="0" r="9525" b="9525"/>
            <wp:docPr id="20949041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904105"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 cy="104775"/>
                    </a:xfrm>
                    <a:prstGeom prst="rect">
                      <a:avLst/>
                    </a:prstGeom>
                    <a:noFill/>
                    <a:ln>
                      <a:noFill/>
                    </a:ln>
                  </pic:spPr>
                </pic:pic>
              </a:graphicData>
            </a:graphic>
          </wp:inline>
        </w:drawing>
      </w:r>
      <w:r w:rsidRPr="001E431A">
        <w:rPr>
          <w:rFonts w:ascii="Times New Roman" w:eastAsia="Times New Roman" w:hAnsi="Times New Roman"/>
          <w:lang w:val="fr-FR"/>
        </w:rPr>
        <w:t xml:space="preserve"> </w:t>
      </w:r>
      <w:r w:rsidRPr="001E431A">
        <w:rPr>
          <w:rFonts w:cs="Arial"/>
          <w:color w:val="000000"/>
          <w:lang w:val="fr-FR"/>
        </w:rPr>
        <w:t xml:space="preserve">reconstitution d’une exposition synthétique à un titre, un secteur d’activité, et/ou à l’Indice de stratégie MSCI World </w:t>
      </w:r>
      <w:r w:rsidRPr="001E431A">
        <w:rPr>
          <w:rFonts w:cs="Arial"/>
          <w:color w:val="000000"/>
          <w:lang w:val="fr-FR"/>
        </w:rPr>
        <w:t>Climate</w:t>
      </w:r>
      <w:r w:rsidRPr="001E431A">
        <w:rPr>
          <w:rFonts w:cs="Arial"/>
          <w:color w:val="000000"/>
          <w:lang w:val="fr-FR"/>
        </w:rPr>
        <w:t xml:space="preserve"> Change Paris </w:t>
      </w:r>
      <w:r w:rsidRPr="001E431A">
        <w:rPr>
          <w:rFonts w:cs="Arial"/>
          <w:color w:val="000000"/>
          <w:lang w:val="fr-FR"/>
        </w:rPr>
        <w:t>Aligned</w:t>
      </w:r>
      <w:r w:rsidRPr="001E431A">
        <w:rPr>
          <w:rFonts w:cs="Arial"/>
          <w:color w:val="000000"/>
          <w:lang w:val="fr-FR"/>
        </w:rPr>
        <w:t xml:space="preserve"> Low Carbon Select via l’utilisation de total return swaps.</w:t>
      </w:r>
    </w:p>
    <w:p w:rsidR="00D61EB0" w:rsidRPr="001E431A" w:rsidP="00D61EB0" w14:paraId="0A45583D" w14:textId="77777777">
      <w:pPr>
        <w:pStyle w:val="BodyText"/>
        <w:tabs>
          <w:tab w:val="left" w:pos="284"/>
        </w:tabs>
        <w:ind w:left="0" w:right="263"/>
        <w:jc w:val="both"/>
        <w:rPr>
          <w:rFonts w:cs="Arial"/>
          <w:color w:val="000000"/>
          <w:lang w:val="fr-FR"/>
        </w:rPr>
      </w:pPr>
      <w:r w:rsidRPr="001E431A">
        <w:rPr>
          <w:rFonts w:cs="Arial"/>
          <w:noProof/>
          <w:color w:val="000000"/>
          <w:spacing w:val="3"/>
          <w:lang w:val="fr-FR" w:eastAsia="fr-FR"/>
        </w:rPr>
        <w:drawing>
          <wp:inline distT="0" distB="0" distL="0" distR="0">
            <wp:extent cx="101600" cy="101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600" cy="101600"/>
                    </a:xfrm>
                    <a:prstGeom prst="rect">
                      <a:avLst/>
                    </a:prstGeom>
                    <a:noFill/>
                    <a:ln>
                      <a:noFill/>
                    </a:ln>
                  </pic:spPr>
                </pic:pic>
              </a:graphicData>
            </a:graphic>
          </wp:inline>
        </w:drawing>
      </w:r>
      <w:r w:rsidRPr="001E431A">
        <w:rPr>
          <w:rFonts w:cs="Arial"/>
          <w:color w:val="000000"/>
          <w:spacing w:val="3"/>
          <w:lang w:val="fr-FR"/>
        </w:rPr>
        <w:t xml:space="preserve"> </w:t>
      </w:r>
      <w:r w:rsidRPr="001E431A">
        <w:rPr>
          <w:rFonts w:cs="Arial"/>
          <w:color w:val="000000"/>
          <w:lang w:val="fr-FR"/>
        </w:rPr>
        <w:t xml:space="preserve">gestion des flux intermédiaires (dividendes, souscriptions/rachats …) pour atteindre le degré d’exposition souhaité à un titre, un secteur d’activité, et/ou à l’Indice de stratégie MSCI World </w:t>
      </w:r>
      <w:r w:rsidRPr="001E431A">
        <w:rPr>
          <w:rFonts w:cs="Arial"/>
          <w:color w:val="000000"/>
          <w:lang w:val="fr-FR"/>
        </w:rPr>
        <w:t>Climate</w:t>
      </w:r>
      <w:r w:rsidRPr="001E431A">
        <w:rPr>
          <w:rFonts w:cs="Arial"/>
          <w:color w:val="000000"/>
          <w:lang w:val="fr-FR"/>
        </w:rPr>
        <w:t xml:space="preserve"> Change Paris </w:t>
      </w:r>
      <w:r w:rsidRPr="001E431A">
        <w:rPr>
          <w:rFonts w:cs="Arial"/>
          <w:color w:val="000000"/>
          <w:lang w:val="fr-FR"/>
        </w:rPr>
        <w:t>Aligned</w:t>
      </w:r>
      <w:r w:rsidRPr="001E431A">
        <w:rPr>
          <w:rFonts w:cs="Arial"/>
          <w:color w:val="000000"/>
          <w:lang w:val="fr-FR"/>
        </w:rPr>
        <w:t xml:space="preserve"> Low Carbon Select via l’utilisation de futures.</w:t>
      </w:r>
    </w:p>
    <w:p w:rsidR="00D61EB0" w:rsidRPr="00D61EB0" w:rsidP="00D61EB0" w14:paraId="2156BFE7" w14:textId="77777777">
      <w:pPr>
        <w:autoSpaceDE w:val="0"/>
        <w:autoSpaceDN w:val="0"/>
        <w:adjustRightInd w:val="0"/>
        <w:jc w:val="both"/>
        <w:rPr>
          <w:rFonts w:ascii="Arial" w:hAnsi="Arial" w:cs="Arial"/>
          <w:color w:val="000000"/>
          <w:sz w:val="20"/>
          <w:szCs w:val="20"/>
          <w:lang w:val="fr-FR"/>
        </w:rPr>
      </w:pPr>
    </w:p>
    <w:p w:rsidR="00D61EB0" w:rsidRPr="00D61EB0" w:rsidP="00D61EB0" w14:paraId="180CCD0C" w14:textId="77777777">
      <w:pPr>
        <w:autoSpaceDE w:val="0"/>
        <w:autoSpaceDN w:val="0"/>
        <w:adjustRightInd w:val="0"/>
        <w:jc w:val="both"/>
        <w:rPr>
          <w:rFonts w:ascii="Arial" w:hAnsi="Arial" w:cs="Arial"/>
          <w:color w:val="000000"/>
          <w:sz w:val="20"/>
          <w:szCs w:val="20"/>
          <w:lang w:val="fr-FR"/>
        </w:rPr>
      </w:pPr>
      <w:r w:rsidRPr="00D61EB0">
        <w:rPr>
          <w:rFonts w:ascii="Arial" w:hAnsi="Arial" w:cs="Arial"/>
          <w:color w:val="000000"/>
          <w:sz w:val="20"/>
          <w:szCs w:val="20"/>
          <w:lang w:val="fr-FR"/>
        </w:rPr>
        <w:t>Ces instruments sont susceptibles de servir de couverture jusqu’à 100% de l’actif net du Fonds.</w:t>
      </w:r>
    </w:p>
    <w:p w:rsidR="00D61EB0" w:rsidRPr="00D61EB0" w:rsidP="00D61EB0" w14:paraId="3E230DD1" w14:textId="77777777">
      <w:pPr>
        <w:jc w:val="both"/>
        <w:textAlignment w:val="baseline"/>
        <w:rPr>
          <w:rFonts w:ascii="Arial" w:eastAsia="Arial" w:hAnsi="Arial" w:cs="Arial"/>
          <w:color w:val="000000"/>
          <w:sz w:val="20"/>
          <w:szCs w:val="20"/>
          <w:lang w:val="fr-FR"/>
        </w:rPr>
      </w:pPr>
    </w:p>
    <w:p w:rsidR="00D61EB0" w:rsidRPr="00D61EB0" w:rsidP="00D61EB0" w14:paraId="61D5D733" w14:textId="77777777">
      <w:pPr>
        <w:jc w:val="both"/>
        <w:textAlignment w:val="baseline"/>
        <w:rPr>
          <w:rFonts w:ascii="Arial" w:eastAsia="Arial" w:hAnsi="Arial" w:cs="Arial"/>
          <w:color w:val="000000"/>
          <w:sz w:val="20"/>
          <w:szCs w:val="20"/>
          <w:lang w:val="fr-FR"/>
        </w:rPr>
      </w:pPr>
      <w:r w:rsidRPr="00D61EB0">
        <w:rPr>
          <w:rFonts w:ascii="Arial" w:eastAsia="Arial" w:hAnsi="Arial" w:cs="Arial"/>
          <w:color w:val="000000"/>
          <w:sz w:val="20"/>
          <w:szCs w:val="20"/>
          <w:lang w:val="fr-FR"/>
        </w:rPr>
        <w:t>L’engagement issu des instruments dérivés est limité à 100% de l’actif net.</w:t>
      </w:r>
    </w:p>
    <w:p w:rsidR="00D61EB0" w:rsidRPr="00D61EB0" w:rsidP="00D61EB0" w14:paraId="63ADBC48" w14:textId="77777777">
      <w:pPr>
        <w:autoSpaceDE w:val="0"/>
        <w:autoSpaceDN w:val="0"/>
        <w:adjustRightInd w:val="0"/>
        <w:jc w:val="both"/>
        <w:rPr>
          <w:rFonts w:ascii="Arial" w:hAnsi="Arial" w:cs="Arial"/>
          <w:b/>
          <w:bCs/>
          <w:color w:val="000000"/>
          <w:sz w:val="20"/>
          <w:szCs w:val="20"/>
          <w:lang w:val="fr-FR"/>
        </w:rPr>
      </w:pPr>
    </w:p>
    <w:p w:rsidR="00D61EB0" w:rsidRPr="00D61EB0" w:rsidP="00D61EB0" w14:paraId="1B1D008F" w14:textId="77777777">
      <w:pPr>
        <w:autoSpaceDE w:val="0"/>
        <w:autoSpaceDN w:val="0"/>
        <w:adjustRightInd w:val="0"/>
        <w:jc w:val="both"/>
        <w:rPr>
          <w:rFonts w:ascii="Arial" w:hAnsi="Arial" w:cs="Arial"/>
          <w:b/>
          <w:bCs/>
          <w:color w:val="000000"/>
          <w:sz w:val="20"/>
          <w:szCs w:val="20"/>
          <w:lang w:val="fr-FR"/>
        </w:rPr>
      </w:pPr>
      <w:r w:rsidRPr="00D61EB0">
        <w:rPr>
          <w:rFonts w:ascii="Arial" w:hAnsi="Arial" w:cs="Arial"/>
          <w:b/>
          <w:bCs/>
          <w:color w:val="000000"/>
          <w:sz w:val="20"/>
          <w:szCs w:val="20"/>
          <w:lang w:val="fr-FR"/>
        </w:rPr>
        <w:t xml:space="preserve">4. </w:t>
      </w:r>
      <w:r w:rsidRPr="00D61EB0">
        <w:rPr>
          <w:rFonts w:ascii="Arial" w:hAnsi="Arial" w:cs="Arial"/>
          <w:b/>
          <w:bCs/>
          <w:color w:val="000000"/>
          <w:sz w:val="20"/>
          <w:szCs w:val="20"/>
          <w:u w:val="single"/>
          <w:lang w:val="fr-FR"/>
        </w:rPr>
        <w:t>Titres intégrant des dérivés</w:t>
      </w:r>
      <w:r w:rsidRPr="00D61EB0">
        <w:rPr>
          <w:rFonts w:ascii="Arial" w:hAnsi="Arial" w:cs="Arial"/>
          <w:b/>
          <w:bCs/>
          <w:color w:val="000000"/>
          <w:sz w:val="20"/>
          <w:szCs w:val="20"/>
          <w:lang w:val="fr-FR"/>
        </w:rPr>
        <w:t xml:space="preserve"> :</w:t>
      </w:r>
    </w:p>
    <w:p w:rsidR="00D61EB0" w:rsidRPr="00D61EB0" w:rsidP="00D61EB0" w14:paraId="42AB1EBA" w14:textId="77777777">
      <w:pPr>
        <w:autoSpaceDE w:val="0"/>
        <w:autoSpaceDN w:val="0"/>
        <w:adjustRightInd w:val="0"/>
        <w:jc w:val="both"/>
        <w:rPr>
          <w:rFonts w:ascii="Arial" w:hAnsi="Arial" w:cs="Arial"/>
          <w:color w:val="000000"/>
          <w:sz w:val="20"/>
          <w:szCs w:val="20"/>
          <w:lang w:val="fr-FR"/>
        </w:rPr>
      </w:pPr>
      <w:r w:rsidRPr="00D61EB0">
        <w:rPr>
          <w:rFonts w:ascii="Arial" w:hAnsi="Arial" w:cs="Arial"/>
          <w:color w:val="000000"/>
          <w:sz w:val="20"/>
          <w:szCs w:val="20"/>
          <w:lang w:val="fr-FR"/>
        </w:rPr>
        <w:t>Néant.</w:t>
      </w:r>
    </w:p>
    <w:p w:rsidR="00D61EB0" w:rsidRPr="00D61EB0" w:rsidP="00D61EB0" w14:paraId="39C6A8ED" w14:textId="77777777">
      <w:pPr>
        <w:autoSpaceDE w:val="0"/>
        <w:autoSpaceDN w:val="0"/>
        <w:adjustRightInd w:val="0"/>
        <w:jc w:val="both"/>
        <w:rPr>
          <w:rFonts w:ascii="Arial" w:hAnsi="Arial" w:cs="Arial"/>
          <w:color w:val="000000"/>
          <w:sz w:val="20"/>
          <w:szCs w:val="20"/>
          <w:lang w:val="fr-FR"/>
        </w:rPr>
      </w:pPr>
    </w:p>
    <w:p w:rsidR="00D61EB0" w:rsidRPr="00D61EB0" w:rsidP="00D61EB0" w14:paraId="154B6065" w14:textId="77777777">
      <w:pPr>
        <w:autoSpaceDE w:val="0"/>
        <w:autoSpaceDN w:val="0"/>
        <w:adjustRightInd w:val="0"/>
        <w:jc w:val="both"/>
        <w:rPr>
          <w:rFonts w:ascii="Arial" w:hAnsi="Arial" w:cs="Arial"/>
          <w:b/>
          <w:bCs/>
          <w:color w:val="000000"/>
          <w:sz w:val="20"/>
          <w:szCs w:val="20"/>
          <w:lang w:val="fr-FR"/>
        </w:rPr>
      </w:pPr>
      <w:r w:rsidRPr="00D61EB0">
        <w:rPr>
          <w:rFonts w:ascii="Arial" w:hAnsi="Arial" w:cs="Arial"/>
          <w:b/>
          <w:bCs/>
          <w:color w:val="000000"/>
          <w:sz w:val="20"/>
          <w:szCs w:val="20"/>
          <w:lang w:val="fr-FR"/>
        </w:rPr>
        <w:t xml:space="preserve">5. </w:t>
      </w:r>
      <w:r w:rsidRPr="00D61EB0">
        <w:rPr>
          <w:rFonts w:ascii="Arial" w:hAnsi="Arial" w:cs="Arial"/>
          <w:b/>
          <w:bCs/>
          <w:color w:val="000000"/>
          <w:sz w:val="20"/>
          <w:szCs w:val="20"/>
          <w:u w:val="single"/>
          <w:lang w:val="fr-FR"/>
        </w:rPr>
        <w:t>Dépôts et liquidités</w:t>
      </w:r>
      <w:r w:rsidRPr="00D61EB0">
        <w:rPr>
          <w:rFonts w:ascii="Arial" w:hAnsi="Arial" w:cs="Arial"/>
          <w:b/>
          <w:bCs/>
          <w:color w:val="000000"/>
          <w:sz w:val="20"/>
          <w:szCs w:val="20"/>
          <w:lang w:val="fr-FR"/>
        </w:rPr>
        <w:t xml:space="preserve"> :</w:t>
      </w:r>
    </w:p>
    <w:p w:rsidR="00D61EB0" w:rsidRPr="001E431A" w:rsidP="00D61EB0" w14:paraId="07BDC36F" w14:textId="77777777">
      <w:pPr>
        <w:autoSpaceDE w:val="0"/>
        <w:autoSpaceDN w:val="0"/>
        <w:adjustRightInd w:val="0"/>
        <w:jc w:val="both"/>
        <w:rPr>
          <w:rFonts w:ascii="Arial" w:hAnsi="Arial" w:cs="Arial"/>
          <w:color w:val="000000"/>
          <w:sz w:val="20"/>
          <w:szCs w:val="20"/>
          <w:lang w:val="x-none"/>
        </w:rPr>
      </w:pPr>
      <w:r w:rsidRPr="001E431A">
        <w:rPr>
          <w:rFonts w:ascii="Arial" w:hAnsi="Arial" w:cs="Arial"/>
          <w:color w:val="000000"/>
          <w:sz w:val="20"/>
          <w:szCs w:val="20"/>
          <w:lang w:val="x-none"/>
        </w:rPr>
        <w:t>Le Fonds peut, dans la limite de 3% de son actif net effectuer des dépôts d'une durée maximale de douze mois. Ces dépôts contribuent à la réalisation de l'objectif de gestion du Fonds en lui permettant de gérer la trésorerie.</w:t>
      </w:r>
    </w:p>
    <w:p w:rsidR="00D61EB0" w:rsidRPr="00D61EB0" w:rsidP="00D61EB0" w14:paraId="15FF2A68" w14:textId="77777777">
      <w:pPr>
        <w:autoSpaceDE w:val="0"/>
        <w:autoSpaceDN w:val="0"/>
        <w:adjustRightInd w:val="0"/>
        <w:jc w:val="both"/>
        <w:rPr>
          <w:rFonts w:ascii="Arial" w:hAnsi="Arial" w:cs="Arial"/>
          <w:color w:val="000000"/>
          <w:sz w:val="20"/>
          <w:szCs w:val="20"/>
          <w:lang w:val="fr-FR"/>
        </w:rPr>
      </w:pPr>
    </w:p>
    <w:p w:rsidR="00D61EB0" w:rsidRPr="00D61EB0" w:rsidP="00D61EB0" w14:paraId="790A8A48" w14:textId="77777777">
      <w:pPr>
        <w:autoSpaceDE w:val="0"/>
        <w:autoSpaceDN w:val="0"/>
        <w:adjustRightInd w:val="0"/>
        <w:jc w:val="both"/>
        <w:rPr>
          <w:rFonts w:ascii="Arial" w:hAnsi="Arial" w:cs="Arial"/>
          <w:b/>
          <w:bCs/>
          <w:color w:val="000000"/>
          <w:sz w:val="20"/>
          <w:szCs w:val="20"/>
          <w:lang w:val="fr-FR"/>
        </w:rPr>
      </w:pPr>
      <w:r w:rsidRPr="00D61EB0">
        <w:rPr>
          <w:rFonts w:ascii="Arial" w:hAnsi="Arial" w:cs="Arial"/>
          <w:b/>
          <w:bCs/>
          <w:color w:val="000000"/>
          <w:sz w:val="20"/>
          <w:szCs w:val="20"/>
          <w:lang w:val="fr-FR"/>
        </w:rPr>
        <w:t xml:space="preserve">6. </w:t>
      </w:r>
      <w:r w:rsidRPr="00D61EB0">
        <w:rPr>
          <w:rFonts w:ascii="Arial" w:hAnsi="Arial" w:cs="Arial"/>
          <w:b/>
          <w:bCs/>
          <w:color w:val="000000"/>
          <w:sz w:val="20"/>
          <w:szCs w:val="20"/>
          <w:u w:val="single"/>
          <w:lang w:val="fr-FR"/>
        </w:rPr>
        <w:t>Emprunt</w:t>
      </w:r>
      <w:r w:rsidRPr="00D61EB0">
        <w:rPr>
          <w:rFonts w:ascii="Arial" w:hAnsi="Arial" w:cs="Arial"/>
          <w:b/>
          <w:bCs/>
          <w:color w:val="000000"/>
          <w:sz w:val="20"/>
          <w:szCs w:val="20"/>
          <w:u w:val="single"/>
          <w:lang w:val="fr-FR"/>
        </w:rPr>
        <w:t xml:space="preserve"> d’espèces</w:t>
      </w:r>
      <w:r w:rsidRPr="00D61EB0">
        <w:rPr>
          <w:rFonts w:ascii="Arial" w:hAnsi="Arial" w:cs="Arial"/>
          <w:b/>
          <w:bCs/>
          <w:color w:val="000000"/>
          <w:sz w:val="20"/>
          <w:szCs w:val="20"/>
          <w:lang w:val="fr-FR"/>
        </w:rPr>
        <w:t xml:space="preserve"> :</w:t>
      </w:r>
    </w:p>
    <w:p w:rsidR="00D61EB0" w:rsidRPr="00D61EB0" w:rsidP="00D61EB0" w14:paraId="2467D655" w14:textId="77777777">
      <w:pPr>
        <w:autoSpaceDE w:val="0"/>
        <w:autoSpaceDN w:val="0"/>
        <w:adjustRightInd w:val="0"/>
        <w:jc w:val="both"/>
        <w:rPr>
          <w:rFonts w:ascii="Arial" w:hAnsi="Arial" w:cs="Arial"/>
          <w:color w:val="000000"/>
          <w:sz w:val="20"/>
          <w:szCs w:val="20"/>
          <w:lang w:val="fr-FR"/>
        </w:rPr>
      </w:pPr>
      <w:r w:rsidRPr="00D61EB0">
        <w:rPr>
          <w:rFonts w:ascii="Arial" w:hAnsi="Arial" w:cs="Arial"/>
          <w:color w:val="000000"/>
          <w:sz w:val="20"/>
          <w:szCs w:val="20"/>
          <w:lang w:val="fr-FR"/>
        </w:rPr>
        <w:t>De manière exceptionnelle et temporaire, le Fonds pourra avoir recours, dans la limite de 10% de son actif net, à des emprunts, en vue d’optimiser la gestion de sa trésorerie.</w:t>
      </w:r>
    </w:p>
    <w:p w:rsidR="00D61EB0" w:rsidRPr="001E431A" w:rsidP="00D61EB0" w14:paraId="3E963D31" w14:textId="77777777">
      <w:pPr>
        <w:autoSpaceDE w:val="0"/>
        <w:autoSpaceDN w:val="0"/>
        <w:adjustRightInd w:val="0"/>
        <w:jc w:val="both"/>
        <w:rPr>
          <w:rFonts w:ascii="Arial" w:hAnsi="Arial" w:cs="Arial"/>
          <w:b/>
          <w:color w:val="000000"/>
          <w:sz w:val="20"/>
          <w:szCs w:val="20"/>
          <w:lang w:val="x-none"/>
        </w:rPr>
      </w:pPr>
    </w:p>
    <w:p w:rsidR="00D61EB0" w:rsidRPr="00D61EB0" w:rsidP="00D61EB0" w14:paraId="24B65120" w14:textId="77777777">
      <w:pPr>
        <w:autoSpaceDE w:val="0"/>
        <w:autoSpaceDN w:val="0"/>
        <w:adjustRightInd w:val="0"/>
        <w:jc w:val="both"/>
        <w:rPr>
          <w:rFonts w:ascii="Arial" w:hAnsi="Arial" w:cs="Arial"/>
          <w:b/>
          <w:color w:val="000000"/>
          <w:sz w:val="20"/>
          <w:szCs w:val="20"/>
          <w:lang w:val="fr-FR"/>
        </w:rPr>
      </w:pPr>
      <w:r w:rsidRPr="00D61EB0">
        <w:rPr>
          <w:rFonts w:ascii="Arial" w:hAnsi="Arial" w:cs="Arial"/>
          <w:b/>
          <w:color w:val="000000"/>
          <w:sz w:val="20"/>
          <w:szCs w:val="20"/>
          <w:lang w:val="fr-FR"/>
        </w:rPr>
        <w:t xml:space="preserve">7. </w:t>
      </w:r>
      <w:r w:rsidRPr="00D61EB0">
        <w:rPr>
          <w:rFonts w:ascii="Arial" w:hAnsi="Arial" w:cs="Arial"/>
          <w:b/>
          <w:color w:val="000000"/>
          <w:sz w:val="20"/>
          <w:szCs w:val="20"/>
          <w:u w:val="single"/>
          <w:lang w:val="fr-FR"/>
        </w:rPr>
        <w:t>Opérations d’acquisitions et de cessions temporaires de titres</w:t>
      </w:r>
      <w:r w:rsidRPr="00D61EB0">
        <w:rPr>
          <w:rFonts w:ascii="Arial" w:hAnsi="Arial" w:cs="Arial"/>
          <w:b/>
          <w:color w:val="000000"/>
          <w:sz w:val="20"/>
          <w:szCs w:val="20"/>
          <w:lang w:val="fr-FR"/>
        </w:rPr>
        <w:t xml:space="preserve"> : </w:t>
      </w:r>
    </w:p>
    <w:p w:rsidR="00D61EB0" w:rsidRPr="00D61EB0" w:rsidP="00D61EB0" w14:paraId="015307AE" w14:textId="77777777">
      <w:pPr>
        <w:autoSpaceDE w:val="0"/>
        <w:autoSpaceDN w:val="0"/>
        <w:adjustRightInd w:val="0"/>
        <w:jc w:val="both"/>
        <w:rPr>
          <w:rFonts w:ascii="Arial" w:hAnsi="Arial" w:cs="Arial"/>
          <w:color w:val="000000"/>
          <w:sz w:val="20"/>
          <w:szCs w:val="20"/>
          <w:lang w:val="fr-FR"/>
        </w:rPr>
      </w:pPr>
      <w:r w:rsidRPr="00D61EB0">
        <w:rPr>
          <w:rFonts w:ascii="Arial" w:hAnsi="Arial" w:cs="Arial"/>
          <w:color w:val="000000"/>
          <w:sz w:val="20"/>
          <w:szCs w:val="20"/>
          <w:lang w:val="fr-FR"/>
        </w:rPr>
        <w:t>Néant.</w:t>
      </w:r>
    </w:p>
    <w:p w:rsidR="00816373" w14:paraId="695A4386" w14:textId="7B92BF19">
      <w:pPr>
        <w:rPr>
          <w:rFonts w:ascii="Arial" w:hAnsi="Arial" w:cs="Arial"/>
          <w:color w:val="000000"/>
          <w:sz w:val="20"/>
          <w:szCs w:val="20"/>
          <w:lang w:val="x-none"/>
        </w:rPr>
      </w:pPr>
      <w:r>
        <w:rPr>
          <w:rFonts w:ascii="Arial" w:hAnsi="Arial" w:cs="Arial"/>
          <w:color w:val="000000"/>
          <w:sz w:val="20"/>
          <w:szCs w:val="20"/>
          <w:lang w:val="x-none"/>
        </w:rPr>
        <w:br w:type="page"/>
      </w:r>
    </w:p>
    <w:p w:rsidR="00D61EB0" w:rsidRPr="00D61EB0" w:rsidP="00D61EB0" w14:paraId="46DD570E" w14:textId="77777777">
      <w:pPr>
        <w:autoSpaceDE w:val="0"/>
        <w:autoSpaceDN w:val="0"/>
        <w:adjustRightInd w:val="0"/>
        <w:jc w:val="both"/>
        <w:rPr>
          <w:rFonts w:ascii="Arial" w:hAnsi="Arial" w:cs="Arial"/>
          <w:color w:val="000000"/>
          <w:sz w:val="20"/>
          <w:szCs w:val="20"/>
          <w:lang w:val="fr-FR"/>
        </w:rPr>
      </w:pPr>
      <w:r w:rsidRPr="00D61EB0">
        <w:rPr>
          <w:rFonts w:ascii="Arial" w:hAnsi="Arial" w:cs="Arial"/>
          <w:b/>
          <w:color w:val="000000"/>
          <w:sz w:val="20"/>
          <w:szCs w:val="20"/>
          <w:lang w:val="fr-FR"/>
        </w:rPr>
        <w:t>Profil de risque</w:t>
      </w:r>
    </w:p>
    <w:p w:rsidR="00D61EB0" w:rsidRPr="00D61EB0" w:rsidP="00D61EB0" w14:paraId="34617E31" w14:textId="77777777">
      <w:pPr>
        <w:jc w:val="both"/>
        <w:rPr>
          <w:rFonts w:ascii="Arial" w:eastAsia="Arial" w:hAnsi="Arial" w:cs="Arial"/>
          <w:color w:val="000000"/>
          <w:sz w:val="20"/>
          <w:szCs w:val="20"/>
          <w:u w:val="single"/>
          <w:lang w:val="fr-FR"/>
        </w:rPr>
      </w:pPr>
      <w:r w:rsidRPr="00D61EB0">
        <w:rPr>
          <w:rFonts w:ascii="Arial" w:eastAsia="Arial" w:hAnsi="Arial" w:cs="Arial"/>
          <w:color w:val="000000"/>
          <w:sz w:val="20"/>
          <w:szCs w:val="20"/>
          <w:u w:val="single"/>
          <w:lang w:val="fr-FR"/>
        </w:rPr>
        <w:t>Risque actions</w:t>
      </w:r>
    </w:p>
    <w:p w:rsidR="00D61EB0" w:rsidRPr="00D61EB0" w:rsidP="00D61EB0" w14:paraId="1B32E9EE" w14:textId="77777777">
      <w:pPr>
        <w:jc w:val="both"/>
        <w:rPr>
          <w:rFonts w:ascii="Arial" w:eastAsia="Arial" w:hAnsi="Arial" w:cs="Arial"/>
          <w:color w:val="000000"/>
          <w:sz w:val="20"/>
          <w:szCs w:val="20"/>
          <w:u w:val="single"/>
          <w:lang w:val="fr-FR"/>
        </w:rPr>
      </w:pPr>
      <w:r w:rsidRPr="00D61EB0">
        <w:rPr>
          <w:rFonts w:ascii="Arial" w:eastAsia="Arial" w:hAnsi="Arial" w:cs="Arial"/>
          <w:color w:val="000000"/>
          <w:sz w:val="20"/>
          <w:szCs w:val="20"/>
          <w:u w:val="single"/>
          <w:lang w:val="fr-FR"/>
        </w:rPr>
        <w:t>Risque lié aux évolutions l’Indicateur de Référence</w:t>
      </w:r>
    </w:p>
    <w:p w:rsidR="00D61EB0" w:rsidRPr="00D61EB0" w:rsidP="00D61EB0" w14:paraId="0B4517EC" w14:textId="77777777">
      <w:pPr>
        <w:jc w:val="both"/>
        <w:rPr>
          <w:rFonts w:ascii="Arial" w:eastAsia="Arial" w:hAnsi="Arial" w:cs="Arial"/>
          <w:color w:val="000000"/>
          <w:sz w:val="20"/>
          <w:szCs w:val="20"/>
          <w:u w:val="single"/>
          <w:lang w:val="fr-FR"/>
        </w:rPr>
      </w:pPr>
      <w:r w:rsidRPr="00D61EB0">
        <w:rPr>
          <w:rFonts w:ascii="Arial" w:eastAsia="Arial" w:hAnsi="Arial" w:cs="Arial"/>
          <w:color w:val="000000"/>
          <w:sz w:val="20"/>
          <w:szCs w:val="20"/>
          <w:u w:val="single"/>
          <w:lang w:val="fr-FR"/>
        </w:rPr>
        <w:t>Facteurs susceptibles d’influencer la capacité du Fonds à répliquer la performance de l’Indicateur de Référence</w:t>
      </w:r>
    </w:p>
    <w:p w:rsidR="00D61EB0" w:rsidRPr="00D61EB0" w:rsidP="00D61EB0" w14:paraId="74B35EA5" w14:textId="77777777">
      <w:pPr>
        <w:jc w:val="both"/>
        <w:rPr>
          <w:rFonts w:ascii="Arial" w:eastAsia="Arial" w:hAnsi="Arial" w:cs="Arial"/>
          <w:color w:val="000000"/>
          <w:sz w:val="20"/>
          <w:szCs w:val="20"/>
          <w:u w:val="single"/>
          <w:lang w:val="fr-FR"/>
        </w:rPr>
      </w:pPr>
      <w:r w:rsidRPr="00D61EB0">
        <w:rPr>
          <w:rFonts w:ascii="Arial" w:eastAsia="Arial" w:hAnsi="Arial" w:cs="Arial"/>
          <w:color w:val="000000"/>
          <w:sz w:val="20"/>
          <w:szCs w:val="20"/>
          <w:u w:val="single"/>
          <w:lang w:val="fr-FR"/>
        </w:rPr>
        <w:t>Risque juridique</w:t>
      </w:r>
    </w:p>
    <w:p w:rsidR="00D61EB0" w:rsidRPr="00D61EB0" w:rsidP="00D61EB0" w14:paraId="2042DCB3" w14:textId="77777777">
      <w:pPr>
        <w:jc w:val="both"/>
        <w:rPr>
          <w:rFonts w:ascii="Arial" w:eastAsia="Arial" w:hAnsi="Arial" w:cs="Arial"/>
          <w:color w:val="000000"/>
          <w:sz w:val="20"/>
          <w:szCs w:val="20"/>
          <w:u w:val="single"/>
          <w:lang w:val="fr-FR"/>
        </w:rPr>
      </w:pPr>
      <w:r w:rsidRPr="00D61EB0">
        <w:rPr>
          <w:rFonts w:ascii="Arial" w:eastAsia="Arial" w:hAnsi="Arial" w:cs="Arial"/>
          <w:color w:val="000000"/>
          <w:sz w:val="20"/>
          <w:szCs w:val="20"/>
          <w:u w:val="single"/>
          <w:lang w:val="fr-FR"/>
        </w:rPr>
        <w:t>Risque de liquidité</w:t>
      </w:r>
    </w:p>
    <w:p w:rsidR="00D61EB0" w:rsidRPr="00D61EB0" w:rsidP="00D61EB0" w14:paraId="40198323" w14:textId="77777777">
      <w:pPr>
        <w:jc w:val="both"/>
        <w:rPr>
          <w:rFonts w:ascii="Arial" w:eastAsia="Arial" w:hAnsi="Arial" w:cs="Arial"/>
          <w:color w:val="000000"/>
          <w:sz w:val="20"/>
          <w:szCs w:val="20"/>
          <w:u w:val="single"/>
          <w:lang w:val="fr-FR"/>
        </w:rPr>
      </w:pPr>
      <w:r w:rsidRPr="00D61EB0">
        <w:rPr>
          <w:rFonts w:ascii="Arial" w:eastAsia="Arial" w:hAnsi="Arial" w:cs="Arial"/>
          <w:color w:val="000000"/>
          <w:sz w:val="20"/>
          <w:szCs w:val="20"/>
          <w:u w:val="single"/>
          <w:lang w:val="fr-FR"/>
        </w:rPr>
        <w:t>Risque de liquidité sur une place de cotation</w:t>
      </w:r>
    </w:p>
    <w:p w:rsidR="00D61EB0" w:rsidRPr="00D61EB0" w:rsidP="00D61EB0" w14:paraId="2DC8B3D4" w14:textId="77777777">
      <w:pPr>
        <w:jc w:val="both"/>
        <w:rPr>
          <w:rFonts w:ascii="Arial" w:eastAsia="Arial" w:hAnsi="Arial" w:cs="Arial"/>
          <w:color w:val="000000"/>
          <w:sz w:val="20"/>
          <w:szCs w:val="20"/>
          <w:u w:val="single"/>
          <w:lang w:val="fr-FR"/>
        </w:rPr>
      </w:pPr>
      <w:r w:rsidRPr="00D61EB0">
        <w:rPr>
          <w:rFonts w:ascii="Arial" w:eastAsia="Arial" w:hAnsi="Arial" w:cs="Arial"/>
          <w:color w:val="000000"/>
          <w:sz w:val="20"/>
          <w:szCs w:val="20"/>
          <w:u w:val="single"/>
          <w:lang w:val="fr-FR"/>
        </w:rPr>
        <w:t>Risque de calcul de l’Indicateur de Référence</w:t>
      </w:r>
    </w:p>
    <w:p w:rsidR="00D61EB0" w:rsidRPr="00816373" w:rsidP="00D61EB0" w14:paraId="07A784E4" w14:textId="77777777">
      <w:pPr>
        <w:jc w:val="both"/>
        <w:rPr>
          <w:rFonts w:ascii="Arial" w:eastAsia="Arial" w:hAnsi="Arial" w:cs="Arial"/>
          <w:color w:val="000000"/>
          <w:sz w:val="20"/>
          <w:szCs w:val="20"/>
          <w:u w:val="single"/>
          <w:lang w:val="fr-FR"/>
        </w:rPr>
      </w:pPr>
      <w:r w:rsidRPr="00816373">
        <w:rPr>
          <w:rFonts w:ascii="Arial" w:eastAsia="Arial" w:hAnsi="Arial" w:cs="Arial"/>
          <w:color w:val="000000"/>
          <w:sz w:val="20"/>
          <w:szCs w:val="20"/>
          <w:u w:val="single"/>
          <w:lang w:val="fr-FR"/>
        </w:rPr>
        <w:t>Risques ESG</w:t>
      </w:r>
    </w:p>
    <w:p w:rsidR="00D61EB0" w:rsidRPr="00816373" w:rsidP="00D61EB0" w14:paraId="40A1CD22" w14:textId="77777777">
      <w:pPr>
        <w:jc w:val="both"/>
        <w:rPr>
          <w:rFonts w:ascii="Arial" w:eastAsia="Arial" w:hAnsi="Arial" w:cs="Arial"/>
          <w:color w:val="000000"/>
          <w:sz w:val="20"/>
          <w:szCs w:val="20"/>
          <w:u w:val="single"/>
          <w:lang w:val="fr-FR"/>
        </w:rPr>
      </w:pPr>
    </w:p>
    <w:p w:rsidR="00D61EB0" w:rsidRPr="00816373" w:rsidP="00D61EB0" w14:paraId="1A4774EF" w14:textId="77777777">
      <w:pPr>
        <w:rPr>
          <w:lang w:val="fr-FR"/>
        </w:rPr>
      </w:pPr>
    </w:p>
    <w:p w:rsidR="00D61EB0" w:rsidRPr="00D61EB0" w14:paraId="62F0C74E" w14:textId="77777777">
      <w:pPr>
        <w:pStyle w:val="SimpleStyle"/>
        <w:ind w:right="100"/>
        <w:rPr>
          <w:lang w:val="fr-FR"/>
        </w:rPr>
      </w:pPr>
    </w:p>
    <w:p w:rsidR="00D61EB0" w:rsidRPr="00D61EB0" w14:paraId="1720036A" w14:textId="77777777">
      <w:pPr>
        <w:pStyle w:val="SimpleStyle"/>
        <w:ind w:right="100"/>
        <w:rPr>
          <w:lang w:val="fr-FR"/>
        </w:rPr>
      </w:pPr>
    </w:p>
    <w:p w:rsidR="00D61EB0" w:rsidRPr="00D61EB0" w14:paraId="71E5CEDC" w14:textId="77777777">
      <w:pPr>
        <w:pStyle w:val="SimpleStyle"/>
        <w:ind w:right="100"/>
        <w:rPr>
          <w:lang w:val="fr-FR"/>
        </w:rPr>
        <w:sectPr>
          <w:headerReference w:type="default" r:id="rId9"/>
          <w:footerReference w:type="default" r:id="rId10"/>
          <w:pgSz w:w="11900" w:h="16840"/>
          <w:pgMar w:top="2154" w:right="1134" w:bottom="1134" w:left="1134" w:header="400" w:footer="400" w:gutter="0"/>
          <w:pgNumType w:start="2"/>
          <w:cols w:space="720"/>
        </w:sectPr>
      </w:pPr>
    </w:p>
    <w:p w:rsidR="001F4AEE" w:rsidRPr="00D61EB0" w14:paraId="183DB4E0" w14:textId="77777777">
      <w:pPr>
        <w:spacing w:line="15" w:lineRule="exact"/>
        <w:rPr>
          <w:lang w:val="fr-FR"/>
        </w:rPr>
      </w:pPr>
    </w:p>
    <w:p w:rsidR="001F4AEE" w14:paraId="1250BF08" w14:textId="77777777">
      <w:pPr>
        <w:pStyle w:val="TechnicalBookmark"/>
        <w:rPr>
          <w:lang w:val="fr-FR"/>
        </w:rPr>
      </w:pPr>
      <w:r>
        <w:rPr>
          <w:lang w:val="fr-FR"/>
        </w:rPr>
        <w:fldChar w:fldCharType="begin"/>
      </w:r>
      <w:r>
        <w:rPr>
          <w:lang w:val="fr-FR"/>
        </w:rPr>
        <w:instrText xml:space="preserve"> SET 66F328632C52F45926DB0B9C85B54416 "" </w:instrText>
      </w:r>
      <w:r>
        <w:rPr>
          <w:lang w:val="fr-FR"/>
        </w:rPr>
        <w:fldChar w:fldCharType="separate"/>
      </w:r>
      <w:bookmarkStart w:id="11" w:name="66F328632C52F45926DB0B9C85B54416"/>
      <w:bookmarkEnd w:id="11"/>
      <w:r>
        <w:rPr>
          <w:lang w:val="fr-FR"/>
        </w:rPr>
        <w:fldChar w:fldCharType="end"/>
      </w:r>
    </w:p>
    <w:p w:rsidR="001F4AEE" w14:paraId="3EBD5E96" w14:textId="77777777">
      <w:pPr>
        <w:pStyle w:val="H1"/>
        <w:rPr>
          <w:lang w:val="fr-FR"/>
        </w:rPr>
      </w:pPr>
      <w:bookmarkStart w:id="12" w:name="Compte_rendu_d'activité"/>
      <w:bookmarkEnd w:id="12"/>
      <w:r>
        <w:rPr>
          <w:lang w:val="fr-FR"/>
        </w:rPr>
        <w:t>Compte rendu d'activité</w:t>
      </w:r>
    </w:p>
    <w:p w:rsidR="001F4AEE" w14:paraId="01E281AE" w14:textId="77777777">
      <w:pPr>
        <w:pStyle w:val="RefToc1"/>
        <w:rPr>
          <w:lang w:val="fr-FR"/>
        </w:rPr>
      </w:pPr>
      <w:bookmarkStart w:id="13" w:name="BK_833DC84E2EC7CAD84B9353A3FBF4A9E0"/>
      <w:bookmarkEnd w:id="13"/>
      <w:bookmarkStart w:id="14" w:name="_Toc256000001"/>
      <w:r>
        <w:rPr>
          <w:lang w:val="fr-FR"/>
        </w:rPr>
        <w:t>Compte rendu d'activité</w:t>
      </w:r>
      <w:bookmarkEnd w:id="14"/>
    </w:p>
    <w:p w:rsidR="001F4AEE" w14:paraId="699593E0" w14:textId="77777777">
      <w:pPr>
        <w:pStyle w:val="TechnicalBookmark"/>
        <w:rPr>
          <w:lang w:val="fr-FR"/>
        </w:rPr>
      </w:pPr>
      <w:r>
        <w:rPr>
          <w:lang w:val="fr-FR"/>
        </w:rPr>
        <w:fldChar w:fldCharType="begin"/>
      </w:r>
      <w:r>
        <w:rPr>
          <w:lang w:val="fr-FR"/>
        </w:rPr>
        <w:instrText xml:space="preserve"> SET 1EB6203C0828D806676A7395C31A6E0B "" </w:instrText>
      </w:r>
      <w:r>
        <w:rPr>
          <w:lang w:val="fr-FR"/>
        </w:rPr>
        <w:fldChar w:fldCharType="separate"/>
      </w:r>
      <w:bookmarkStart w:id="15" w:name="1EB6203C0828D806676A7395C31A6E0B"/>
      <w:bookmarkEnd w:id="15"/>
      <w:r>
        <w:rPr>
          <w:lang w:val="fr-FR"/>
        </w:rPr>
        <w:fldChar w:fldCharType="end"/>
      </w:r>
    </w:p>
    <w:p w:rsidR="00B82514" w:rsidRPr="003A009E" w:rsidP="003A009E" w14:paraId="2A56E3E7" w14:textId="4E1B76D1">
      <w:pPr>
        <w:jc w:val="both"/>
        <w:rPr>
          <w:rFonts w:ascii="Arial" w:eastAsia="Arial" w:hAnsi="Arial" w:cs="Arial"/>
          <w:sz w:val="20"/>
          <w:szCs w:val="22"/>
          <w:lang w:val="fr-FR"/>
        </w:rPr>
      </w:pPr>
      <w:bookmarkStart w:id="16" w:name="c2c99747ce290b9fe7a38a2aab93d7b3d_START"/>
      <w:bookmarkEnd w:id="16"/>
      <w:r w:rsidRPr="00D61EB0">
        <w:rPr>
          <w:rFonts w:ascii="Arial" w:hAnsi="Arial" w:cs="Arial"/>
          <w:sz w:val="20"/>
          <w:lang w:val="fr-FR"/>
        </w:rPr>
        <w:t>Le premier semestre 2025 a été marqué par une succession de tensions commerciales et d'évènements politiques et géopolitiques influençant substantiellement les marchés financiers. Le lancement d'une guerre commerciale par les États-Unis début avril a ravivé les craintes inflationnistes, provoquant une baisse des actions, une appréciation de l'or, un rebond des taux longs, une nette dépréciation du dollar et des flux importants en direction de l'Europe. Malgré la pression de D. Trump, la Réserve Fédérale a maintenu ses taux directeurs inchangés entre 4,25 % et 4,5 % craignant une reprise de l'inflation. La BCE, au contraire, a progressivement abaissé son taux de dépôt à 2%. Les négociations budgétaires américaines et le plan de relance allemand ont été source de volatilité des marchés obligataires avec sur la période une baisse de taux longs américains et une hausse des taux longs allemands. Enfin, la guerre entre l'Iran et Israël a entrainé une hausse puis une chute brutale du prix du pétrole. Dans ce contexte incertain et des marchés cahoteux, l'or a progressé de 26%."Les marchés actions ont traversé une période de forte volatilité au début du mois d'avril, à la suite de l'annonce de nouveaux tarifs douaniers, puis de leur report. Malgré ce contexte agité, les performances boursières sur l'ensemble du semestre étaient globalement positives mais la baisse du dollar a un effet important sur la performance en devise. C'est particulièrement le cas lorsqu'on ramène les performances des actions américaines en euro du fait de la hausse d'environ 14% de l'euro-dollar.</w:t>
      </w:r>
      <w:r w:rsidR="00816373">
        <w:rPr>
          <w:rFonts w:ascii="Arial" w:hAnsi="Arial" w:cs="Arial"/>
          <w:sz w:val="20"/>
          <w:lang w:val="fr-FR"/>
        </w:rPr>
        <w:t xml:space="preserve"> </w:t>
      </w:r>
      <w:r w:rsidRPr="00D61EB0">
        <w:rPr>
          <w:rFonts w:ascii="Arial" w:hAnsi="Arial" w:cs="Arial"/>
          <w:sz w:val="20"/>
          <w:lang w:val="fr-FR"/>
        </w:rPr>
        <w:t>L'indice MSCI ACWI a progressé de 9% sur le semestre avec une surperformance des marchés émergents (MSCI EM +14%, MSCI World +8.6%). Au sein des marchés développés, le fait marquant a été la surperformance de l'Europe par rapport aux Etats-Unis avec des flux très nettement favorables au Vieux Continent, et qui coïncident avec les décisions de D. Trump en particulier les tarifs douaniers et la pression mise sur le président de la Fed. En Europe, l'</w:t>
      </w:r>
      <w:r w:rsidRPr="00D61EB0">
        <w:rPr>
          <w:rFonts w:ascii="Arial" w:hAnsi="Arial" w:cs="Arial"/>
          <w:sz w:val="20"/>
          <w:lang w:val="fr-FR"/>
        </w:rPr>
        <w:t>Eurostoxx</w:t>
      </w:r>
      <w:r w:rsidRPr="00D61EB0">
        <w:rPr>
          <w:rFonts w:ascii="Arial" w:hAnsi="Arial" w:cs="Arial"/>
          <w:sz w:val="20"/>
          <w:lang w:val="fr-FR"/>
        </w:rPr>
        <w:t xml:space="preserve"> 50 a progressé de 8,3 %, mais seulement 3.9% pour le CAC 40. L'Allemagne a connu la plus forte variation (DAX30 +20%) suite aux annonces du plan de relance du gouvernement Merz et aux flux sur le secteur de la défense. Aux États-Unis, l'indice S&amp;P 500 a progressé de 5,5 % depuis le début de l'année et termine sur des nouveaux plus hauts malgré une forte baisse début avril. Le Nasdaq 100, grâce au rebond des valeurs technologiques, a enregistré une hausse de 7,9 %. En Asie, le Nikkei 225 modestement progressé de 1,5 % et +2.4% pour le TOPIX, tandis que le HSCEI chinois s'est distingué par une forte progression de 19%. La mesure de volatilité VIX a chuté de 6 points sur le semestre terminant à 17% après un passage proche de 50 début avril. "Sur le 1er semestre 2025, la performance nette du portefeuille s'est établie à 7,38 % (en USD), affichant une sous-performance de 11 bps avec son indice de référence. Sur la même période, l'indice de référence du fonds, l'indice MSCI WORLD CLIMATE CHANGE PARIS ALIGNED LOW CARBON SELECT INDEX NR, a réalisé une performance de 7,49 %.</w:t>
      </w:r>
      <w:r w:rsidRPr="00D61EB0">
        <w:rPr>
          <w:rFonts w:ascii="Arial" w:hAnsi="Arial" w:cs="Arial"/>
          <w:sz w:val="20"/>
          <w:lang w:val="fr-FR"/>
        </w:rPr>
        <w:cr/>
      </w:r>
      <w:r w:rsidRPr="003A009E">
        <w:rPr>
          <w:rFonts w:ascii="Arial" w:eastAsia="Arial" w:hAnsi="Arial" w:cs="Arial"/>
          <w:sz w:val="20"/>
          <w:szCs w:val="22"/>
          <w:lang w:val="fr-FR"/>
        </w:rPr>
        <w:cr/>
      </w:r>
      <w:bookmarkStart w:id="17" w:name="c2c99747ce290b9fe7a38a2aab93d7b3d_END"/>
      <w:bookmarkEnd w:id="17"/>
    </w:p>
    <w:p w:rsidR="001F4AEE" w14:paraId="6271D222" w14:textId="77777777">
      <w:pPr>
        <w:pStyle w:val="Text"/>
        <w:rPr>
          <w:lang w:val="fr-FR"/>
        </w:rPr>
      </w:pPr>
      <w:r>
        <w:rPr>
          <w:lang w:val="fr-FR"/>
        </w:rPr>
        <w:t>Sur la période sous revue du portefeuille AMUNDI MSCI WORLD CLIMATE PARIS ALIGNED PAB UMWELTZEICHEN UCITS ETF DR, la performance est de 0,00%. Celle du benchmark est de 0,00%.</w:t>
      </w:r>
    </w:p>
    <w:p w:rsidR="001F4AEE" w14:paraId="43974B8D" w14:textId="77777777">
      <w:pPr>
        <w:pStyle w:val="Text"/>
        <w:spacing w:after="15"/>
        <w:rPr>
          <w:lang w:val="fr-FR"/>
        </w:rPr>
      </w:pPr>
    </w:p>
    <w:p w:rsidR="001F4AEE" w14:paraId="1E3A3AF7" w14:textId="77777777">
      <w:pPr>
        <w:pStyle w:val="BreakLine"/>
        <w:rPr>
          <w:lang w:val="fr-FR"/>
        </w:rPr>
      </w:pPr>
      <w:r>
        <w:rPr>
          <w:lang w:val="fr-FR"/>
        </w:rPr>
        <w:t xml:space="preserve"> </w:t>
      </w:r>
    </w:p>
    <w:p w:rsidR="001F4AEE" w14:paraId="3AF4C7EF" w14:textId="77777777">
      <w:pPr>
        <w:pStyle w:val="Text"/>
        <w:spacing w:after="15"/>
        <w:rPr>
          <w:i/>
          <w:lang w:val="fr-FR"/>
        </w:rPr>
      </w:pPr>
      <w:r>
        <w:rPr>
          <w:i/>
          <w:lang w:val="fr-FR"/>
        </w:rPr>
        <w:t>Les performances passées ne préjugent pas des performances futures.</w:t>
      </w:r>
    </w:p>
    <w:p w:rsidR="00D61EB0" w14:paraId="5BA6EA1F" w14:textId="65315376">
      <w:pPr>
        <w:pStyle w:val="BreakLine"/>
        <w:rPr>
          <w:lang w:val="fr-FR"/>
        </w:rPr>
      </w:pPr>
      <w:r>
        <w:rPr>
          <w:lang w:val="fr-FR"/>
        </w:rPr>
        <w:t xml:space="preserve"> </w:t>
      </w:r>
    </w:p>
    <w:p w:rsidR="00D61EB0" w14:paraId="305BB062" w14:textId="77777777">
      <w:pPr>
        <w:rPr>
          <w:rFonts w:ascii="Arial" w:eastAsia="Arial" w:hAnsi="Arial" w:cs="Arial"/>
          <w:sz w:val="18"/>
          <w:szCs w:val="20"/>
          <w:lang w:val="fr-FR"/>
        </w:rPr>
      </w:pPr>
      <w:r>
        <w:rPr>
          <w:lang w:val="fr-FR"/>
        </w:rPr>
        <w:br w:type="page"/>
      </w:r>
    </w:p>
    <w:p w:rsidR="001F4AEE" w:rsidRPr="00816373" w14:paraId="2EC37268" w14:textId="77777777">
      <w:pPr>
        <w:spacing w:line="30" w:lineRule="exact"/>
        <w:rPr>
          <w:sz w:val="3"/>
          <w:lang w:val="fr-FR"/>
        </w:rPr>
      </w:pPr>
    </w:p>
    <w:p w:rsidR="001F4AEE" w14:paraId="1B08CE29" w14:textId="77777777">
      <w:pPr>
        <w:pStyle w:val="TechnicalBookmark"/>
        <w:rPr>
          <w:lang w:val="fr-FR"/>
        </w:rPr>
      </w:pPr>
    </w:p>
    <w:p w:rsidR="001F4AEE" w14:paraId="1F322AF0" w14:textId="77777777">
      <w:pPr>
        <w:pStyle w:val="TechnicalBookmark"/>
        <w:rPr>
          <w:lang w:val="fr-FR"/>
        </w:rPr>
      </w:pPr>
    </w:p>
    <w:p w:rsidR="001F4AEE" w14:paraId="75721BAE" w14:textId="77777777">
      <w:pPr>
        <w:pStyle w:val="TechnicalBookmark"/>
        <w:rPr>
          <w:lang w:val="fr-FR"/>
        </w:rPr>
      </w:pPr>
      <w:r>
        <w:rPr>
          <w:lang w:val="fr-FR"/>
        </w:rPr>
        <w:fldChar w:fldCharType="begin"/>
      </w:r>
      <w:r>
        <w:rPr>
          <w:lang w:val="fr-FR"/>
        </w:rPr>
        <w:instrText xml:space="preserve"> SET D61A53887AC4A4B48DD5ABCDE5D0BD11 "" </w:instrText>
      </w:r>
      <w:r>
        <w:rPr>
          <w:lang w:val="fr-FR"/>
        </w:rPr>
        <w:fldChar w:fldCharType="separate"/>
      </w:r>
      <w:bookmarkStart w:id="18" w:name="D61A53887AC4A4B48DD5ABCDE5D0BD11"/>
      <w:bookmarkEnd w:id="18"/>
      <w:r>
        <w:rPr>
          <w:lang w:val="fr-FR"/>
        </w:rPr>
        <w:fldChar w:fldCharType="end"/>
      </w:r>
    </w:p>
    <w:p w:rsidR="001F4AEE" w14:paraId="359CC74A" w14:textId="77777777">
      <w:pPr>
        <w:pStyle w:val="Heading5"/>
        <w:rPr>
          <w:i w:val="0"/>
          <w:lang w:val="fr-FR"/>
        </w:rPr>
      </w:pPr>
      <w:bookmarkStart w:id="19" w:name="&lt;font_size=&quot;5&quot;&gt;Transparence_des_opératio"/>
      <w:bookmarkEnd w:id="19"/>
      <w:r>
        <w:rPr>
          <w:i w:val="0"/>
          <w:sz w:val="36"/>
          <w:lang w:val="fr-FR"/>
        </w:rPr>
        <w:t>Transparence des opérations de financement sur titres et de la réutilisation des instruments financiers</w:t>
      </w:r>
      <w:r>
        <w:rPr>
          <w:i w:val="0"/>
          <w:lang w:val="fr-FR"/>
        </w:rPr>
        <w:t xml:space="preserve"> - Règlement SFTR - en devise de comptabilité de l’OPC (USD)</w:t>
      </w:r>
    </w:p>
    <w:p w:rsidR="001F4AEE" w14:paraId="5A963D12" w14:textId="77777777">
      <w:pPr>
        <w:pStyle w:val="RefToc2"/>
        <w:rPr>
          <w:lang w:val="fr-FR"/>
        </w:rPr>
      </w:pPr>
      <w:bookmarkStart w:id="20" w:name="BK_3480470953C037ED799A5D5A74D43D62"/>
      <w:bookmarkEnd w:id="20"/>
    </w:p>
    <w:p w:rsidR="001F4AEE" w14:paraId="50B1B78D" w14:textId="77777777">
      <w:pPr>
        <w:pStyle w:val="TechnicalBookmark"/>
        <w:rPr>
          <w:lang w:val="fr-FR"/>
        </w:rPr>
      </w:pPr>
      <w:r>
        <w:rPr>
          <w:lang w:val="fr-FR"/>
        </w:rPr>
        <w:fldChar w:fldCharType="begin"/>
      </w:r>
      <w:r>
        <w:rPr>
          <w:lang w:val="fr-FR"/>
        </w:rPr>
        <w:instrText xml:space="preserve"> SET 2C041334922BC9F944DE03C7CAC05AB9 "" </w:instrText>
      </w:r>
      <w:r>
        <w:rPr>
          <w:lang w:val="fr-FR"/>
        </w:rPr>
        <w:fldChar w:fldCharType="separate"/>
      </w:r>
      <w:bookmarkStart w:id="21" w:name="2C041334922BC9F944DE03C7CAC05AB9"/>
      <w:bookmarkEnd w:id="21"/>
      <w:r>
        <w:rPr>
          <w:lang w:val="fr-FR"/>
        </w:rPr>
        <w:fldChar w:fldCharType="end"/>
      </w:r>
    </w:p>
    <w:p w:rsidR="00C47C2A" w:rsidRPr="00D33312" w:rsidP="00D33312" w14:paraId="4CDB7829" w14:textId="77777777">
      <w:pPr>
        <w:jc w:val="both"/>
        <w:rPr>
          <w:rFonts w:ascii="Arial" w:eastAsia="Arial" w:hAnsi="Arial" w:cs="Arial"/>
          <w:sz w:val="20"/>
          <w:szCs w:val="20"/>
          <w:lang w:val="fr-FR" w:eastAsia="zh-TW"/>
        </w:rPr>
      </w:pPr>
      <w:bookmarkStart w:id="22" w:name="c790f66163a8db02e6dcf64b29bd14ea2_START"/>
      <w:bookmarkEnd w:id="22"/>
      <w:r w:rsidRPr="00FC3CB5">
        <w:rPr>
          <w:rFonts w:ascii="Arial" w:eastAsia="Arial" w:hAnsi="Arial" w:cs="Arial"/>
          <w:sz w:val="20"/>
          <w:szCs w:val="20"/>
          <w:lang w:val="fr-FR" w:eastAsia="zh-TW"/>
        </w:rPr>
        <w:t>Au cours de l’exercice, l’OPC n’a pas fait l’objet d’opérations rele</w:t>
      </w:r>
      <w:r w:rsidR="00D33312">
        <w:rPr>
          <w:rFonts w:ascii="Arial" w:eastAsia="Arial" w:hAnsi="Arial" w:cs="Arial"/>
          <w:sz w:val="20"/>
          <w:szCs w:val="20"/>
          <w:lang w:val="fr-FR" w:eastAsia="zh-TW"/>
        </w:rPr>
        <w:t>vant de la règlementation SFTR.</w:t>
      </w:r>
    </w:p>
    <w:p w:rsidR="001F4AEE" w14:paraId="1A9D91DE" w14:textId="77777777">
      <w:pPr>
        <w:pStyle w:val="ContributionStart"/>
        <w:rPr>
          <w:lang w:val="fr-FR"/>
        </w:rPr>
        <w:sectPr>
          <w:headerReference w:type="default" r:id="rId11"/>
          <w:footerReference w:type="default" r:id="rId12"/>
          <w:pgSz w:w="11900" w:h="16840"/>
          <w:pgMar w:top="2154" w:right="1134" w:bottom="1134" w:left="1134" w:header="400" w:footer="400" w:gutter="0"/>
          <w:cols w:space="720"/>
        </w:sectPr>
      </w:pPr>
      <w:bookmarkStart w:id="23" w:name="c790f66163a8db02e6dcf64b29bd14ea2_END"/>
      <w:bookmarkEnd w:id="23"/>
    </w:p>
    <w:p w:rsidR="001F4AEE" w:rsidRPr="00D61EB0" w14:paraId="29F1A460" w14:textId="77777777">
      <w:pPr>
        <w:spacing w:line="15" w:lineRule="exact"/>
        <w:rPr>
          <w:lang w:val="fr-FR"/>
        </w:rPr>
      </w:pPr>
    </w:p>
    <w:p w:rsidR="001F4AEE" w14:paraId="363BCF97" w14:textId="77777777">
      <w:pPr>
        <w:pStyle w:val="TechnicalBookmark"/>
        <w:rPr>
          <w:lang w:val="fr-FR"/>
        </w:rPr>
      </w:pPr>
      <w:r>
        <w:rPr>
          <w:lang w:val="fr-FR"/>
        </w:rPr>
        <w:fldChar w:fldCharType="begin"/>
      </w:r>
      <w:r>
        <w:rPr>
          <w:lang w:val="fr-FR"/>
        </w:rPr>
        <w:instrText xml:space="preserve"> SET 27BFFEB8B39EA633A84B44778119A6EB "" </w:instrText>
      </w:r>
      <w:r>
        <w:rPr>
          <w:lang w:val="fr-FR"/>
        </w:rPr>
        <w:fldChar w:fldCharType="separate"/>
      </w:r>
      <w:bookmarkStart w:id="24" w:name="27BFFEB8B39EA633A84B44778119A6EB"/>
      <w:bookmarkEnd w:id="24"/>
      <w:r>
        <w:rPr>
          <w:lang w:val="fr-FR"/>
        </w:rPr>
        <w:fldChar w:fldCharType="end"/>
      </w:r>
    </w:p>
    <w:p w:rsidR="001F4AEE" w14:paraId="2F97B018" w14:textId="77777777">
      <w:pPr>
        <w:pStyle w:val="H1"/>
        <w:rPr>
          <w:lang w:val="fr-FR"/>
        </w:rPr>
      </w:pPr>
      <w:bookmarkStart w:id="25" w:name="Vie_de_l’OPC_sur_l’exercice_sous_revue"/>
      <w:bookmarkEnd w:id="25"/>
      <w:r>
        <w:rPr>
          <w:lang w:val="fr-FR"/>
        </w:rPr>
        <w:t>Vie de l’OPC sur l’exercice sous revue</w:t>
      </w:r>
    </w:p>
    <w:p w:rsidR="001F4AEE" w14:paraId="694B5332" w14:textId="77777777">
      <w:pPr>
        <w:pStyle w:val="RefToc1"/>
        <w:rPr>
          <w:lang w:val="fr-FR"/>
        </w:rPr>
      </w:pPr>
      <w:bookmarkStart w:id="26" w:name="BK_0EE7C695E46D67284E0EB507CA1D977A"/>
      <w:bookmarkEnd w:id="26"/>
      <w:bookmarkStart w:id="27" w:name="_Toc256000003"/>
      <w:r>
        <w:rPr>
          <w:lang w:val="fr-FR"/>
        </w:rPr>
        <w:t>Vie de l’OPC sur l’exercice sous revue</w:t>
      </w:r>
      <w:bookmarkEnd w:id="27"/>
    </w:p>
    <w:p w:rsidR="001F4AEE" w14:paraId="09C39423" w14:textId="77777777">
      <w:pPr>
        <w:pStyle w:val="TechnicalBookmark"/>
        <w:rPr>
          <w:lang w:val="fr-FR"/>
        </w:rPr>
      </w:pPr>
      <w:r>
        <w:rPr>
          <w:lang w:val="fr-FR"/>
        </w:rPr>
        <w:fldChar w:fldCharType="begin"/>
      </w:r>
      <w:r>
        <w:rPr>
          <w:lang w:val="fr-FR"/>
        </w:rPr>
        <w:instrText xml:space="preserve"> SET F9FFBE499A4BAEC99B1033D3214C24FB "" </w:instrText>
      </w:r>
      <w:r>
        <w:rPr>
          <w:lang w:val="fr-FR"/>
        </w:rPr>
        <w:fldChar w:fldCharType="separate"/>
      </w:r>
      <w:bookmarkStart w:id="28" w:name="F9FFBE499A4BAEC99B1033D3214C24FB"/>
      <w:bookmarkEnd w:id="28"/>
      <w:r>
        <w:rPr>
          <w:lang w:val="fr-FR"/>
        </w:rPr>
        <w:fldChar w:fldCharType="end"/>
      </w:r>
    </w:p>
    <w:p w:rsidR="00B82514" w:rsidRPr="003A009E" w:rsidP="003A009E" w14:paraId="2F16B691" w14:textId="0516FE6D">
      <w:pPr>
        <w:jc w:val="both"/>
        <w:rPr>
          <w:rFonts w:ascii="Arial" w:eastAsia="Arial" w:hAnsi="Arial" w:cs="Arial"/>
          <w:sz w:val="20"/>
          <w:szCs w:val="22"/>
          <w:lang w:val="fr-FR"/>
        </w:rPr>
      </w:pPr>
      <w:bookmarkStart w:id="29" w:name="c4b6b36ce8920d2f67a294898e2a23475_START"/>
      <w:bookmarkEnd w:id="29"/>
      <w:r w:rsidRPr="003A009E">
        <w:rPr>
          <w:rFonts w:ascii="Arial" w:eastAsia="Arial" w:hAnsi="Arial" w:cs="Arial"/>
          <w:sz w:val="20"/>
          <w:szCs w:val="22"/>
          <w:lang w:val="fr-FR"/>
        </w:rPr>
        <w:cr/>
      </w:r>
      <w:r w:rsidR="00816373">
        <w:rPr>
          <w:rFonts w:ascii="Arial" w:eastAsia="Arial" w:hAnsi="Arial" w:cs="Arial"/>
          <w:sz w:val="20"/>
          <w:szCs w:val="22"/>
          <w:lang w:val="fr-FR"/>
        </w:rPr>
        <w:t>Néant.</w:t>
      </w:r>
      <w:r w:rsidRPr="003A009E">
        <w:rPr>
          <w:rFonts w:ascii="Arial" w:eastAsia="Arial" w:hAnsi="Arial" w:cs="Arial"/>
          <w:sz w:val="20"/>
          <w:szCs w:val="22"/>
          <w:lang w:val="fr-FR"/>
        </w:rPr>
        <w:cr/>
      </w:r>
    </w:p>
    <w:p w:rsidR="001F4AEE" w14:paraId="1566A6D4" w14:textId="77777777">
      <w:pPr>
        <w:pStyle w:val="ContributionStart"/>
        <w:rPr>
          <w:lang w:val="fr-FR"/>
        </w:rPr>
        <w:sectPr>
          <w:headerReference w:type="default" r:id="rId13"/>
          <w:footerReference w:type="default" r:id="rId14"/>
          <w:pgSz w:w="11900" w:h="16840"/>
          <w:pgMar w:top="2154" w:right="1134" w:bottom="1134" w:left="1134" w:header="400" w:footer="400" w:gutter="0"/>
          <w:cols w:space="720"/>
        </w:sectPr>
      </w:pPr>
      <w:bookmarkStart w:id="30" w:name="c4b6b36ce8920d2f67a294898e2a23475_END"/>
      <w:bookmarkEnd w:id="30"/>
    </w:p>
    <w:p w:rsidR="001F4AEE" w:rsidRPr="00D61EB0" w14:paraId="1E1AD7CD" w14:textId="77777777">
      <w:pPr>
        <w:spacing w:line="15" w:lineRule="exact"/>
        <w:rPr>
          <w:lang w:val="fr-FR"/>
        </w:rPr>
      </w:pPr>
    </w:p>
    <w:p w:rsidR="001F4AEE" w14:paraId="06D5A393" w14:textId="77777777">
      <w:pPr>
        <w:pStyle w:val="TechnicalBookmark"/>
        <w:rPr>
          <w:lang w:val="fr-FR"/>
        </w:rPr>
      </w:pPr>
      <w:r>
        <w:rPr>
          <w:lang w:val="fr-FR"/>
        </w:rPr>
        <w:fldChar w:fldCharType="begin"/>
      </w:r>
      <w:r>
        <w:rPr>
          <w:lang w:val="fr-FR"/>
        </w:rPr>
        <w:instrText xml:space="preserve"> SET 6E094B1A5B259F38789ADFC3EFD55F7E "" </w:instrText>
      </w:r>
      <w:r>
        <w:rPr>
          <w:lang w:val="fr-FR"/>
        </w:rPr>
        <w:fldChar w:fldCharType="separate"/>
      </w:r>
      <w:bookmarkStart w:id="31" w:name="6E094B1A5B259F38789ADFC3EFD55F7E"/>
      <w:bookmarkEnd w:id="31"/>
      <w:r>
        <w:rPr>
          <w:lang w:val="fr-FR"/>
        </w:rPr>
        <w:fldChar w:fldCharType="end"/>
      </w:r>
    </w:p>
    <w:p w:rsidR="001F4AEE" w14:paraId="4CF0F88C" w14:textId="77777777">
      <w:pPr>
        <w:pStyle w:val="H1"/>
        <w:rPr>
          <w:lang w:val="fr-FR"/>
        </w:rPr>
      </w:pPr>
      <w:bookmarkStart w:id="32" w:name="Informations_spécifiques"/>
      <w:bookmarkEnd w:id="32"/>
      <w:r>
        <w:rPr>
          <w:lang w:val="fr-FR"/>
        </w:rPr>
        <w:t>Informations spécifiques</w:t>
      </w:r>
    </w:p>
    <w:p w:rsidR="001F4AEE" w14:paraId="537BEAE6" w14:textId="77777777">
      <w:pPr>
        <w:pStyle w:val="RefToc1"/>
        <w:rPr>
          <w:lang w:val="fr-FR"/>
        </w:rPr>
      </w:pPr>
      <w:bookmarkStart w:id="33" w:name="BK_961A97C490D0A08C65D4A0D7EE065F2F"/>
      <w:bookmarkEnd w:id="33"/>
      <w:bookmarkStart w:id="34" w:name="_Toc256000004"/>
      <w:r>
        <w:rPr>
          <w:lang w:val="fr-FR"/>
        </w:rPr>
        <w:t>Informations spécifiques</w:t>
      </w:r>
      <w:bookmarkEnd w:id="34"/>
    </w:p>
    <w:p w:rsidR="001F4AEE" w14:paraId="53EF63CD" w14:textId="77777777">
      <w:pPr>
        <w:pStyle w:val="TechnicalBookmark"/>
        <w:rPr>
          <w:lang w:val="fr-FR"/>
        </w:rPr>
      </w:pPr>
      <w:r>
        <w:rPr>
          <w:lang w:val="fr-FR"/>
        </w:rPr>
        <w:fldChar w:fldCharType="begin"/>
      </w:r>
      <w:r>
        <w:rPr>
          <w:lang w:val="fr-FR"/>
        </w:rPr>
        <w:instrText xml:space="preserve"> SET BA87CBD687799F6B1C56402E8F416929 "" </w:instrText>
      </w:r>
      <w:r>
        <w:rPr>
          <w:lang w:val="fr-FR"/>
        </w:rPr>
        <w:fldChar w:fldCharType="separate"/>
      </w:r>
      <w:bookmarkStart w:id="35" w:name="BA87CBD687799F6B1C56402E8F416929"/>
      <w:bookmarkEnd w:id="35"/>
      <w:r>
        <w:rPr>
          <w:lang w:val="fr-FR"/>
        </w:rPr>
        <w:fldChar w:fldCharType="end"/>
      </w:r>
    </w:p>
    <w:p w:rsidR="001F4AEE" w14:paraId="21D49F0B" w14:textId="77777777">
      <w:pPr>
        <w:pStyle w:val="TechnicalBookmark"/>
        <w:rPr>
          <w:lang w:val="fr-FR"/>
        </w:rPr>
      </w:pPr>
      <w:r>
        <w:rPr>
          <w:lang w:val="fr-FR"/>
        </w:rPr>
        <w:fldChar w:fldCharType="begin"/>
      </w:r>
      <w:r>
        <w:rPr>
          <w:lang w:val="fr-FR"/>
        </w:rPr>
        <w:instrText xml:space="preserve"> SET 36F54BC2B150E396A7C1CB0337AEE15A "" </w:instrText>
      </w:r>
      <w:r>
        <w:rPr>
          <w:lang w:val="fr-FR"/>
        </w:rPr>
        <w:fldChar w:fldCharType="separate"/>
      </w:r>
      <w:bookmarkStart w:id="36" w:name="36F54BC2B150E396A7C1CB0337AEE15A"/>
      <w:bookmarkEnd w:id="36"/>
      <w:r>
        <w:rPr>
          <w:lang w:val="fr-FR"/>
        </w:rPr>
        <w:fldChar w:fldCharType="end"/>
      </w:r>
    </w:p>
    <w:p w:rsidR="001F4AEE" w14:paraId="74E62E3A" w14:textId="77777777">
      <w:pPr>
        <w:pStyle w:val="H3"/>
        <w:rPr>
          <w:lang w:val="fr-FR"/>
        </w:rPr>
      </w:pPr>
      <w:bookmarkStart w:id="37" w:name="Droit_de_vote"/>
      <w:bookmarkEnd w:id="37"/>
      <w:r>
        <w:rPr>
          <w:lang w:val="fr-FR"/>
        </w:rPr>
        <w:t>Droit de vote</w:t>
      </w:r>
    </w:p>
    <w:p w:rsidR="001F4AEE" w14:paraId="3D8860FB" w14:textId="77777777">
      <w:pPr>
        <w:pStyle w:val="RefToc2"/>
        <w:rPr>
          <w:lang w:val="fr-FR"/>
        </w:rPr>
      </w:pPr>
      <w:bookmarkStart w:id="38" w:name="BK_A092FE084676EB877196C88036682BCB"/>
      <w:bookmarkEnd w:id="38"/>
    </w:p>
    <w:p w:rsidR="001F4AEE" w14:paraId="33FD450A" w14:textId="77777777">
      <w:pPr>
        <w:pStyle w:val="TechnicalBookmark"/>
        <w:rPr>
          <w:lang w:val="fr-FR"/>
        </w:rPr>
      </w:pPr>
      <w:r>
        <w:rPr>
          <w:lang w:val="fr-FR"/>
        </w:rPr>
        <w:fldChar w:fldCharType="begin"/>
      </w:r>
      <w:r>
        <w:rPr>
          <w:lang w:val="fr-FR"/>
        </w:rPr>
        <w:instrText xml:space="preserve"> SET D5EF53623E03B64E9844F39889BB0234 "" </w:instrText>
      </w:r>
      <w:r>
        <w:rPr>
          <w:lang w:val="fr-FR"/>
        </w:rPr>
        <w:fldChar w:fldCharType="separate"/>
      </w:r>
      <w:bookmarkStart w:id="39" w:name="D5EF53623E03B64E9844F39889BB0234"/>
      <w:bookmarkEnd w:id="39"/>
      <w:r>
        <w:rPr>
          <w:lang w:val="fr-FR"/>
        </w:rPr>
        <w:fldChar w:fldCharType="end"/>
      </w:r>
    </w:p>
    <w:p w:rsidR="00AA09AC" w:rsidP="00AA09AC" w14:paraId="164E71E5" w14:textId="77777777">
      <w:pPr>
        <w:autoSpaceDE w:val="0"/>
        <w:autoSpaceDN w:val="0"/>
        <w:adjustRightInd w:val="0"/>
        <w:snapToGrid w:val="0"/>
        <w:jc w:val="both"/>
        <w:rPr>
          <w:rFonts w:ascii="Arial" w:eastAsia="Arial" w:hAnsi="Arial" w:cs="Arial"/>
          <w:sz w:val="20"/>
          <w:lang w:val="x-none" w:eastAsia="fr-FR"/>
        </w:rPr>
      </w:pPr>
      <w:bookmarkStart w:id="40" w:name="c38d157b6087e846297b791d9fe5e5678_START"/>
      <w:bookmarkEnd w:id="40"/>
      <w:r>
        <w:rPr>
          <w:rFonts w:ascii="Arial" w:eastAsia="Arial" w:hAnsi="Arial" w:cs="Arial"/>
          <w:sz w:val="20"/>
          <w:lang w:val="x-none" w:eastAsia="fr-FR"/>
        </w:rPr>
        <w:t>Conformément à la politique que la société de gestion s’est fixée et conformément au règlement du Fonds,</w:t>
      </w:r>
      <w:r>
        <w:rPr>
          <w:rFonts w:ascii="Arial" w:eastAsia="Arial" w:hAnsi="Arial" w:cs="Arial"/>
          <w:sz w:val="20"/>
          <w:lang w:val="fr-FR" w:eastAsia="fr-FR"/>
        </w:rPr>
        <w:t xml:space="preserve"> </w:t>
      </w:r>
      <w:r>
        <w:rPr>
          <w:rFonts w:ascii="Arial" w:eastAsia="Arial" w:hAnsi="Arial" w:cs="Arial"/>
          <w:sz w:val="20"/>
          <w:lang w:val="x-none" w:eastAsia="fr-FR"/>
        </w:rPr>
        <w:t>la société de gestion exerce les droits de vote attachés aux valeurs inscrites à l'actif du Fonds et décide de</w:t>
      </w:r>
      <w:r>
        <w:rPr>
          <w:rFonts w:ascii="Arial" w:eastAsia="Arial" w:hAnsi="Arial" w:cs="Arial"/>
          <w:sz w:val="20"/>
          <w:lang w:val="fr-FR" w:eastAsia="fr-FR"/>
        </w:rPr>
        <w:t xml:space="preserve"> </w:t>
      </w:r>
      <w:r>
        <w:rPr>
          <w:rFonts w:ascii="Arial" w:eastAsia="Arial" w:hAnsi="Arial" w:cs="Arial"/>
          <w:sz w:val="20"/>
          <w:lang w:val="x-none" w:eastAsia="fr-FR"/>
        </w:rPr>
        <w:t>l'apport des titres, à l'exception des titres de l'entreprise ou de toute entreprise qui lui est liée dans les</w:t>
      </w:r>
      <w:r>
        <w:rPr>
          <w:rFonts w:ascii="Arial" w:eastAsia="Arial" w:hAnsi="Arial" w:cs="Arial"/>
          <w:sz w:val="20"/>
          <w:lang w:val="fr-FR" w:eastAsia="fr-FR"/>
        </w:rPr>
        <w:t xml:space="preserve"> </w:t>
      </w:r>
      <w:r>
        <w:rPr>
          <w:rFonts w:ascii="Arial" w:eastAsia="Arial" w:hAnsi="Arial" w:cs="Arial"/>
          <w:sz w:val="20"/>
          <w:lang w:val="x-none" w:eastAsia="fr-FR"/>
        </w:rPr>
        <w:t>conditions prévues à l'article L.444-3 du Code du travail.</w:t>
      </w:r>
    </w:p>
    <w:p w:rsidR="0097747E" w:rsidP="00AA09AC" w14:paraId="5A7408D3" w14:textId="77777777">
      <w:pPr>
        <w:autoSpaceDE w:val="0"/>
        <w:autoSpaceDN w:val="0"/>
        <w:adjustRightInd w:val="0"/>
        <w:snapToGrid w:val="0"/>
        <w:jc w:val="both"/>
        <w:rPr>
          <w:rFonts w:ascii="Arial" w:eastAsia="Arial" w:hAnsi="Arial" w:cs="Arial"/>
          <w:sz w:val="20"/>
          <w:lang w:val="x-none" w:eastAsia="fr-FR"/>
        </w:rPr>
      </w:pPr>
    </w:p>
    <w:p w:rsidR="00AA09AC" w:rsidP="00AA09AC" w14:paraId="30836E0E" w14:textId="77777777">
      <w:pPr>
        <w:autoSpaceDE w:val="0"/>
        <w:autoSpaceDN w:val="0"/>
        <w:adjustRightInd w:val="0"/>
        <w:snapToGrid w:val="0"/>
        <w:jc w:val="both"/>
        <w:rPr>
          <w:rFonts w:ascii="Arial" w:eastAsia="Arial" w:hAnsi="Arial" w:cs="Arial"/>
          <w:sz w:val="20"/>
          <w:lang w:val="x-none" w:eastAsia="fr-FR"/>
        </w:rPr>
      </w:pPr>
      <w:r>
        <w:rPr>
          <w:rFonts w:ascii="Arial" w:eastAsia="Arial" w:hAnsi="Arial" w:cs="Arial"/>
          <w:sz w:val="20"/>
          <w:lang w:val="x-none" w:eastAsia="fr-FR"/>
        </w:rPr>
        <w:t>Les documents intitulés « Politique de vote » et « Rapport d'exercice des droits de vote » élaborés par la</w:t>
      </w:r>
      <w:r>
        <w:rPr>
          <w:rFonts w:ascii="Arial" w:eastAsia="Arial" w:hAnsi="Arial" w:cs="Arial"/>
          <w:sz w:val="20"/>
          <w:lang w:val="fr-FR" w:eastAsia="fr-FR"/>
        </w:rPr>
        <w:t xml:space="preserve"> </w:t>
      </w:r>
      <w:r>
        <w:rPr>
          <w:rFonts w:ascii="Arial" w:eastAsia="Arial" w:hAnsi="Arial" w:cs="Arial"/>
          <w:sz w:val="20"/>
          <w:lang w:val="x-none" w:eastAsia="fr-FR"/>
        </w:rPr>
        <w:t>société de gestion conformément à la réglementation sont disponibles sur demande.</w:t>
      </w:r>
    </w:p>
    <w:p w:rsidR="00AA09AC" w:rsidRPr="0056074F" w:rsidP="0056074F" w14:paraId="3D21DC0A" w14:textId="77777777">
      <w:pPr>
        <w:autoSpaceDE w:val="0"/>
        <w:autoSpaceDN w:val="0"/>
        <w:adjustRightInd w:val="0"/>
        <w:snapToGrid w:val="0"/>
        <w:jc w:val="both"/>
        <w:rPr>
          <w:rFonts w:ascii="Arial" w:eastAsia="Arial" w:hAnsi="Arial" w:cs="Arial"/>
          <w:sz w:val="20"/>
          <w:lang w:val="x-none" w:eastAsia="fr-FR"/>
        </w:rPr>
      </w:pPr>
      <w:r>
        <w:rPr>
          <w:rFonts w:ascii="Arial" w:eastAsia="Arial" w:hAnsi="Arial" w:cs="Arial"/>
          <w:sz w:val="20"/>
          <w:lang w:val="x-none" w:eastAsia="fr-FR"/>
        </w:rPr>
        <w:t>Le présent OPCVM n’a pas été retenu dans la liste des</w:t>
      </w:r>
      <w:r w:rsidR="0056074F">
        <w:rPr>
          <w:rFonts w:ascii="Arial" w:eastAsia="Arial" w:hAnsi="Arial" w:cs="Arial"/>
          <w:sz w:val="20"/>
          <w:lang w:val="x-none" w:eastAsia="fr-FR"/>
        </w:rPr>
        <w:t xml:space="preserve"> fonds qui votent actuellement.</w:t>
      </w:r>
      <w:bookmarkStart w:id="41" w:name="c38d157b6087e846297b791d9fe5e5678_END"/>
      <w:bookmarkEnd w:id="41"/>
    </w:p>
    <w:p w:rsidR="001F4AEE" w14:paraId="57033403" w14:textId="77777777">
      <w:pPr>
        <w:pStyle w:val="BreakLine"/>
        <w:rPr>
          <w:lang w:val="fr-FR"/>
        </w:rPr>
      </w:pPr>
      <w:r>
        <w:rPr>
          <w:lang w:val="fr-FR"/>
        </w:rPr>
        <w:t xml:space="preserve"> </w:t>
      </w:r>
    </w:p>
    <w:p w:rsidR="001F4AEE" w14:paraId="30EF42C3" w14:textId="77777777">
      <w:pPr>
        <w:pStyle w:val="TechnicalBookmark"/>
        <w:rPr>
          <w:lang w:val="fr-FR"/>
        </w:rPr>
      </w:pPr>
      <w:r>
        <w:rPr>
          <w:lang w:val="fr-FR"/>
        </w:rPr>
        <w:fldChar w:fldCharType="begin"/>
      </w:r>
      <w:r>
        <w:rPr>
          <w:lang w:val="fr-FR"/>
        </w:rPr>
        <w:instrText xml:space="preserve"> SET 4A21044EA2F11F306F1CA1E51AD6B220 "" </w:instrText>
      </w:r>
      <w:r>
        <w:rPr>
          <w:lang w:val="fr-FR"/>
        </w:rPr>
        <w:fldChar w:fldCharType="separate"/>
      </w:r>
      <w:bookmarkStart w:id="42" w:name="4A21044EA2F11F306F1CA1E51AD6B220"/>
      <w:bookmarkEnd w:id="42"/>
      <w:r>
        <w:rPr>
          <w:lang w:val="fr-FR"/>
        </w:rPr>
        <w:fldChar w:fldCharType="end"/>
      </w:r>
    </w:p>
    <w:p w:rsidR="001F4AEE" w14:paraId="65E10D5A" w14:textId="77777777">
      <w:pPr>
        <w:pStyle w:val="H2SPACEBEFORE"/>
        <w:ind w:right="2400"/>
        <w:rPr>
          <w:lang w:val="fr-FR"/>
        </w:rPr>
      </w:pPr>
      <w:r>
        <w:rPr>
          <w:lang w:val="fr-FR"/>
        </w:rPr>
        <w:t>|</w:t>
      </w:r>
    </w:p>
    <w:p w:rsidR="001F4AEE" w14:paraId="05CA1FB9" w14:textId="77777777">
      <w:pPr>
        <w:pStyle w:val="H3"/>
        <w:rPr>
          <w:lang w:val="fr-FR"/>
        </w:rPr>
      </w:pPr>
      <w:bookmarkStart w:id="43" w:name="Soft_commissions"/>
      <w:bookmarkEnd w:id="43"/>
      <w:r>
        <w:rPr>
          <w:lang w:val="fr-FR"/>
        </w:rPr>
        <w:t>Soft commissions</w:t>
      </w:r>
    </w:p>
    <w:p w:rsidR="001F4AEE" w14:paraId="362FB082" w14:textId="77777777">
      <w:pPr>
        <w:pStyle w:val="RefToc2"/>
        <w:rPr>
          <w:lang w:val="fr-FR"/>
        </w:rPr>
      </w:pPr>
      <w:bookmarkStart w:id="44" w:name="BK_C1BA552F6D846779F4503EED633F6B71"/>
      <w:bookmarkEnd w:id="44"/>
    </w:p>
    <w:p w:rsidR="001F4AEE" w14:paraId="5E933CD2" w14:textId="77777777">
      <w:pPr>
        <w:pStyle w:val="TechnicalBookmark"/>
        <w:rPr>
          <w:lang w:val="fr-FR"/>
        </w:rPr>
      </w:pPr>
      <w:r>
        <w:rPr>
          <w:lang w:val="fr-FR"/>
        </w:rPr>
        <w:fldChar w:fldCharType="begin"/>
      </w:r>
      <w:r>
        <w:rPr>
          <w:lang w:val="fr-FR"/>
        </w:rPr>
        <w:instrText xml:space="preserve"> SET C584786E0F34F0879163C1C1D75D1891 "" </w:instrText>
      </w:r>
      <w:r>
        <w:rPr>
          <w:lang w:val="fr-FR"/>
        </w:rPr>
        <w:fldChar w:fldCharType="separate"/>
      </w:r>
      <w:bookmarkStart w:id="45" w:name="C584786E0F34F0879163C1C1D75D1891"/>
      <w:bookmarkEnd w:id="45"/>
      <w:r>
        <w:rPr>
          <w:lang w:val="fr-FR"/>
        </w:rPr>
        <w:fldChar w:fldCharType="end"/>
      </w:r>
    </w:p>
    <w:p w:rsidR="00730F0B" w:rsidP="00730F0B" w14:paraId="51913D13" w14:textId="77777777">
      <w:pPr>
        <w:autoSpaceDE w:val="0"/>
        <w:autoSpaceDN w:val="0"/>
        <w:adjustRightInd w:val="0"/>
        <w:jc w:val="both"/>
        <w:rPr>
          <w:rFonts w:ascii="Arial" w:eastAsia="Arial" w:hAnsi="Arial" w:cs="Arial"/>
          <w:sz w:val="20"/>
          <w:szCs w:val="20"/>
          <w:lang w:val="fr-FR"/>
        </w:rPr>
      </w:pPr>
      <w:bookmarkStart w:id="46" w:name="cea3fc214c27db5c114bf019e0282584b_START"/>
      <w:bookmarkEnd w:id="46"/>
      <w:r>
        <w:rPr>
          <w:rFonts w:ascii="Arial" w:eastAsia="Arial" w:hAnsi="Arial" w:cs="Arial"/>
          <w:sz w:val="20"/>
          <w:szCs w:val="20"/>
          <w:lang w:val="fr-FR"/>
        </w:rPr>
        <w:t>La société de gestion n’a pas perçu de Commissions de Mouvements.</w:t>
      </w:r>
    </w:p>
    <w:p w:rsidR="00F42970" w:rsidP="00F42970" w14:paraId="4BE0D440" w14:textId="77777777">
      <w:pPr>
        <w:autoSpaceDE w:val="0"/>
        <w:autoSpaceDN w:val="0"/>
        <w:adjustRightInd w:val="0"/>
        <w:jc w:val="both"/>
        <w:rPr>
          <w:rFonts w:ascii="Arial" w:eastAsia="Arial" w:hAnsi="Arial" w:cs="Arial"/>
          <w:sz w:val="20"/>
          <w:szCs w:val="20"/>
          <w:lang w:val="fr-FR"/>
        </w:rPr>
      </w:pPr>
    </w:p>
    <w:p w:rsidR="00F42970" w:rsidP="00F42970" w14:paraId="0B3B66A2" w14:textId="77777777">
      <w:pPr>
        <w:autoSpaceDE w:val="0"/>
        <w:autoSpaceDN w:val="0"/>
        <w:adjustRightInd w:val="0"/>
        <w:jc w:val="both"/>
        <w:rPr>
          <w:rFonts w:ascii="Arial" w:eastAsia="Arial" w:hAnsi="Arial" w:cs="Arial"/>
          <w:b/>
          <w:bCs/>
          <w:sz w:val="20"/>
          <w:szCs w:val="20"/>
          <w:lang w:val="fr-FR"/>
        </w:rPr>
      </w:pPr>
      <w:r>
        <w:rPr>
          <w:rFonts w:ascii="Arial" w:eastAsia="Arial" w:hAnsi="Arial" w:cs="Arial"/>
          <w:b/>
          <w:bCs/>
          <w:sz w:val="20"/>
          <w:szCs w:val="20"/>
          <w:lang w:val="fr-FR"/>
        </w:rPr>
        <w:t xml:space="preserve">Commission </w:t>
      </w:r>
      <w:r w:rsidR="00730F0B">
        <w:rPr>
          <w:rFonts w:ascii="Arial" w:eastAsia="Arial" w:hAnsi="Arial" w:cs="Arial"/>
          <w:b/>
          <w:bCs/>
          <w:sz w:val="20"/>
          <w:szCs w:val="20"/>
          <w:lang w:val="fr-FR"/>
        </w:rPr>
        <w:t xml:space="preserve">en </w:t>
      </w:r>
      <w:r w:rsidR="000876FA">
        <w:rPr>
          <w:rFonts w:ascii="Arial" w:eastAsia="Arial" w:hAnsi="Arial" w:cs="Arial"/>
          <w:b/>
          <w:bCs/>
          <w:sz w:val="20"/>
          <w:szCs w:val="20"/>
          <w:lang w:val="fr-FR"/>
        </w:rPr>
        <w:t>n</w:t>
      </w:r>
      <w:r w:rsidR="00730F0B">
        <w:rPr>
          <w:rFonts w:ascii="Arial" w:eastAsia="Arial" w:hAnsi="Arial" w:cs="Arial"/>
          <w:b/>
          <w:bCs/>
          <w:sz w:val="20"/>
          <w:szCs w:val="20"/>
          <w:lang w:val="fr-FR"/>
        </w:rPr>
        <w:t>ature</w:t>
      </w:r>
    </w:p>
    <w:p w:rsidR="00F42970" w:rsidP="00F42970" w14:paraId="00DCFDFE" w14:textId="77777777">
      <w:pPr>
        <w:autoSpaceDE w:val="0"/>
        <w:autoSpaceDN w:val="0"/>
        <w:adjustRightInd w:val="0"/>
        <w:jc w:val="both"/>
        <w:rPr>
          <w:rFonts w:ascii="Arial" w:eastAsia="Arial" w:hAnsi="Arial" w:cs="Arial"/>
          <w:b/>
          <w:bCs/>
          <w:sz w:val="20"/>
          <w:szCs w:val="20"/>
          <w:lang w:val="fr-FR"/>
        </w:rPr>
      </w:pPr>
    </w:p>
    <w:p w:rsidR="00730F0B" w:rsidP="00730F0B" w14:paraId="3908A209" w14:textId="77777777">
      <w:pPr>
        <w:autoSpaceDE w:val="0"/>
        <w:autoSpaceDN w:val="0"/>
        <w:adjustRightInd w:val="0"/>
        <w:jc w:val="both"/>
        <w:rPr>
          <w:rFonts w:ascii="Arial" w:eastAsia="Arial" w:hAnsi="Arial" w:cs="Arial"/>
          <w:sz w:val="20"/>
          <w:szCs w:val="20"/>
          <w:lang w:val="fr-FR"/>
        </w:rPr>
      </w:pPr>
      <w:r>
        <w:rPr>
          <w:rFonts w:ascii="Arial" w:eastAsia="Arial" w:hAnsi="Arial" w:cs="Arial"/>
          <w:sz w:val="20"/>
          <w:szCs w:val="20"/>
          <w:lang w:val="fr-FR"/>
        </w:rPr>
        <w:t>La société de gestion n’a pas perçu de Commissions en Nature.</w:t>
      </w:r>
    </w:p>
    <w:p w:rsidR="00F42970" w:rsidP="00F42970" w14:paraId="1B3D05EB" w14:textId="77777777">
      <w:pPr>
        <w:autoSpaceDE w:val="0"/>
        <w:autoSpaceDN w:val="0"/>
        <w:adjustRightInd w:val="0"/>
        <w:jc w:val="both"/>
        <w:rPr>
          <w:rFonts w:ascii="Arial" w:eastAsia="Arial" w:hAnsi="Arial" w:cs="Arial"/>
          <w:sz w:val="20"/>
          <w:szCs w:val="20"/>
          <w:lang w:val="fr-FR"/>
        </w:rPr>
      </w:pPr>
    </w:p>
    <w:p w:rsidR="00F42970" w:rsidP="00F42970" w14:paraId="0F18D4BA" w14:textId="77777777">
      <w:pPr>
        <w:autoSpaceDE w:val="0"/>
        <w:autoSpaceDN w:val="0"/>
        <w:adjustRightInd w:val="0"/>
        <w:jc w:val="both"/>
        <w:rPr>
          <w:rFonts w:ascii="Arial" w:eastAsia="Arial" w:hAnsi="Arial" w:cs="Arial"/>
          <w:b/>
          <w:bCs/>
          <w:sz w:val="20"/>
          <w:szCs w:val="20"/>
          <w:lang w:val="fr-FR"/>
        </w:rPr>
      </w:pPr>
      <w:r>
        <w:rPr>
          <w:rFonts w:ascii="Arial" w:eastAsia="Arial" w:hAnsi="Arial" w:cs="Arial"/>
          <w:b/>
          <w:bCs/>
          <w:sz w:val="20"/>
          <w:szCs w:val="20"/>
          <w:lang w:val="fr-FR"/>
        </w:rPr>
        <w:t>Utilisation Dérivés de crédit</w:t>
      </w:r>
    </w:p>
    <w:p w:rsidR="00F42970" w:rsidP="00F42970" w14:paraId="46A59A91" w14:textId="77777777">
      <w:pPr>
        <w:autoSpaceDE w:val="0"/>
        <w:autoSpaceDN w:val="0"/>
        <w:adjustRightInd w:val="0"/>
        <w:jc w:val="both"/>
        <w:rPr>
          <w:rFonts w:ascii="Arial" w:eastAsia="Arial" w:hAnsi="Arial" w:cs="Arial"/>
          <w:b/>
          <w:bCs/>
          <w:sz w:val="20"/>
          <w:szCs w:val="20"/>
          <w:lang w:val="fr-FR"/>
        </w:rPr>
      </w:pPr>
    </w:p>
    <w:p w:rsidR="0036311A" w:rsidP="00F42970" w14:paraId="5A2792F4" w14:textId="77777777">
      <w:pPr>
        <w:jc w:val="both"/>
        <w:rPr>
          <w:rFonts w:ascii="Arial" w:eastAsia="Arial" w:hAnsi="Arial" w:cs="Arial"/>
          <w:sz w:val="20"/>
          <w:szCs w:val="22"/>
          <w:lang w:val="fr-FR"/>
        </w:rPr>
      </w:pPr>
      <w:r>
        <w:rPr>
          <w:rFonts w:ascii="Arial" w:eastAsia="Arial" w:hAnsi="Arial" w:cs="Arial"/>
          <w:sz w:val="20"/>
          <w:szCs w:val="20"/>
          <w:lang w:val="fr-FR"/>
        </w:rPr>
        <w:t>Le FCP n’a pas utilisé sur l’exercice de Dérivés de Crédit.</w:t>
      </w:r>
      <w:bookmarkStart w:id="47" w:name="cea3fc214c27db5c114bf019e0282584b_END"/>
      <w:bookmarkEnd w:id="47"/>
    </w:p>
    <w:p w:rsidR="001F4AEE" w14:paraId="3B3D7228" w14:textId="77777777">
      <w:pPr>
        <w:pStyle w:val="BreakLine"/>
        <w:rPr>
          <w:lang w:val="fr-FR"/>
        </w:rPr>
      </w:pPr>
      <w:r>
        <w:rPr>
          <w:lang w:val="fr-FR"/>
        </w:rPr>
        <w:t xml:space="preserve"> </w:t>
      </w:r>
    </w:p>
    <w:p w:rsidR="001F4AEE" w14:paraId="3F51485D" w14:textId="77777777">
      <w:pPr>
        <w:pStyle w:val="TechnicalBookmark"/>
        <w:rPr>
          <w:lang w:val="fr-FR"/>
        </w:rPr>
      </w:pPr>
      <w:r>
        <w:rPr>
          <w:lang w:val="fr-FR"/>
        </w:rPr>
        <w:fldChar w:fldCharType="begin"/>
      </w:r>
      <w:r>
        <w:rPr>
          <w:lang w:val="fr-FR"/>
        </w:rPr>
        <w:instrText xml:space="preserve"> SET 638F9BBA9F0906304C60525B24221E96 "" </w:instrText>
      </w:r>
      <w:r>
        <w:rPr>
          <w:lang w:val="fr-FR"/>
        </w:rPr>
        <w:fldChar w:fldCharType="separate"/>
      </w:r>
      <w:bookmarkStart w:id="48" w:name="638F9BBA9F0906304C60525B24221E96"/>
      <w:bookmarkEnd w:id="48"/>
      <w:r>
        <w:rPr>
          <w:lang w:val="fr-FR"/>
        </w:rPr>
        <w:fldChar w:fldCharType="end"/>
      </w:r>
    </w:p>
    <w:p w:rsidR="001F4AEE" w14:paraId="2C51FDD7" w14:textId="77777777">
      <w:pPr>
        <w:pStyle w:val="H2SPACEBEFORE"/>
        <w:ind w:right="2400"/>
        <w:rPr>
          <w:lang w:val="fr-FR"/>
        </w:rPr>
      </w:pPr>
      <w:r>
        <w:rPr>
          <w:lang w:val="fr-FR"/>
        </w:rPr>
        <w:t>|</w:t>
      </w:r>
    </w:p>
    <w:p w:rsidR="001F4AEE" w14:paraId="6083E3B7" w14:textId="77777777">
      <w:pPr>
        <w:pStyle w:val="H3"/>
        <w:rPr>
          <w:lang w:val="fr-FR"/>
        </w:rPr>
      </w:pPr>
      <w:bookmarkStart w:id="49" w:name="Fonds_du_groupe"/>
      <w:bookmarkEnd w:id="49"/>
      <w:r>
        <w:rPr>
          <w:lang w:val="fr-FR"/>
        </w:rPr>
        <w:t>Fonds du groupe</w:t>
      </w:r>
    </w:p>
    <w:p w:rsidR="001F4AEE" w14:paraId="3EC3CFAD" w14:textId="77777777">
      <w:pPr>
        <w:pStyle w:val="RefToc2"/>
        <w:rPr>
          <w:lang w:val="fr-FR"/>
        </w:rPr>
      </w:pPr>
      <w:bookmarkStart w:id="50" w:name="BK_B8B45970FF755F3A488631CD9B039480"/>
      <w:bookmarkEnd w:id="50"/>
    </w:p>
    <w:p w:rsidR="001F4AEE" w14:paraId="790304C6" w14:textId="77777777">
      <w:pPr>
        <w:pStyle w:val="TechnicalBookmark"/>
        <w:rPr>
          <w:lang w:val="fr-FR"/>
        </w:rPr>
      </w:pPr>
      <w:r>
        <w:rPr>
          <w:lang w:val="fr-FR"/>
        </w:rPr>
        <w:fldChar w:fldCharType="begin"/>
      </w:r>
      <w:r>
        <w:rPr>
          <w:lang w:val="fr-FR"/>
        </w:rPr>
        <w:instrText xml:space="preserve"> SET 8B3E06553058F6CFA6583D2AE8A15F00 "" </w:instrText>
      </w:r>
      <w:r>
        <w:rPr>
          <w:lang w:val="fr-FR"/>
        </w:rPr>
        <w:fldChar w:fldCharType="separate"/>
      </w:r>
      <w:bookmarkStart w:id="51" w:name="8B3E06553058F6CFA6583D2AE8A15F00"/>
      <w:bookmarkEnd w:id="51"/>
      <w:r>
        <w:rPr>
          <w:lang w:val="fr-FR"/>
        </w:rPr>
        <w:fldChar w:fldCharType="end"/>
      </w:r>
    </w:p>
    <w:p w:rsidR="00C8207E" w:rsidRPr="00C8207E" w:rsidP="00C8207E" w14:paraId="03DB1379" w14:textId="77777777">
      <w:pPr>
        <w:autoSpaceDE w:val="0"/>
        <w:autoSpaceDN w:val="0"/>
        <w:adjustRightInd w:val="0"/>
        <w:jc w:val="both"/>
        <w:rPr>
          <w:rFonts w:ascii="Arial" w:eastAsia="Arial" w:hAnsi="Arial" w:cs="Arial"/>
          <w:sz w:val="20"/>
          <w:szCs w:val="20"/>
          <w:lang w:val="fr-FR"/>
        </w:rPr>
      </w:pPr>
      <w:bookmarkStart w:id="52" w:name="c4592d427170c916f00b9bf250a6d2e18_START"/>
      <w:bookmarkEnd w:id="52"/>
      <w:r w:rsidRPr="00C8207E">
        <w:rPr>
          <w:rFonts w:ascii="Arial" w:eastAsia="Arial" w:hAnsi="Arial" w:cs="Arial"/>
          <w:sz w:val="20"/>
          <w:szCs w:val="20"/>
          <w:lang w:val="fr-FR"/>
        </w:rPr>
        <w:t>Afin de prendre connaissance de l’information sur les instruments financiers détenus en portefeuille qui sont</w:t>
      </w:r>
      <w:r>
        <w:rPr>
          <w:rFonts w:ascii="Arial" w:eastAsia="Arial" w:hAnsi="Arial" w:cs="Arial"/>
          <w:sz w:val="20"/>
          <w:szCs w:val="20"/>
          <w:lang w:val="fr-FR"/>
        </w:rPr>
        <w:t xml:space="preserve"> </w:t>
      </w:r>
      <w:r w:rsidRPr="00C8207E">
        <w:rPr>
          <w:rFonts w:ascii="Arial" w:eastAsia="Arial" w:hAnsi="Arial" w:cs="Arial"/>
          <w:sz w:val="20"/>
          <w:szCs w:val="20"/>
          <w:lang w:val="fr-FR"/>
        </w:rPr>
        <w:t>émis par la Société de Gestion ou par les entités de son groupe, veuillez-vous reporter aux rubriques des</w:t>
      </w:r>
      <w:r>
        <w:rPr>
          <w:rFonts w:ascii="Arial" w:eastAsia="Arial" w:hAnsi="Arial" w:cs="Arial"/>
          <w:sz w:val="20"/>
          <w:szCs w:val="20"/>
          <w:lang w:val="fr-FR"/>
        </w:rPr>
        <w:t xml:space="preserve"> </w:t>
      </w:r>
      <w:r w:rsidRPr="00C8207E">
        <w:rPr>
          <w:rFonts w:ascii="Arial" w:eastAsia="Arial" w:hAnsi="Arial" w:cs="Arial"/>
          <w:sz w:val="20"/>
          <w:szCs w:val="20"/>
          <w:lang w:val="fr-FR"/>
        </w:rPr>
        <w:t>comptes annuels :</w:t>
      </w:r>
    </w:p>
    <w:p w:rsidR="00C8207E" w:rsidRPr="00C8207E" w:rsidP="00C8207E" w14:paraId="0686C008" w14:textId="77777777">
      <w:pPr>
        <w:numPr>
          <w:ilvl w:val="0"/>
          <w:numId w:val="1"/>
        </w:numPr>
        <w:tabs>
          <w:tab w:val="left" w:pos="284"/>
        </w:tabs>
        <w:autoSpaceDE w:val="0"/>
        <w:autoSpaceDN w:val="0"/>
        <w:adjustRightInd w:val="0"/>
        <w:contextualSpacing/>
        <w:jc w:val="both"/>
        <w:rPr>
          <w:rFonts w:ascii="Arial" w:eastAsia="Arial" w:hAnsi="Arial" w:cs="Arial"/>
          <w:sz w:val="20"/>
          <w:szCs w:val="20"/>
          <w:lang w:val="fr-FR"/>
        </w:rPr>
      </w:pPr>
      <w:r w:rsidRPr="00C8207E">
        <w:rPr>
          <w:rFonts w:ascii="Arial" w:eastAsia="Arial" w:hAnsi="Arial" w:cs="Arial"/>
          <w:sz w:val="20"/>
          <w:szCs w:val="20"/>
          <w:lang w:val="fr-FR"/>
        </w:rPr>
        <w:t>Autres Informations.</w:t>
      </w:r>
    </w:p>
    <w:p w:rsidR="006E7594" w:rsidRPr="00C8207E" w:rsidP="00C8207E" w14:paraId="7A81B9C9" w14:textId="77777777">
      <w:pPr>
        <w:numPr>
          <w:ilvl w:val="0"/>
          <w:numId w:val="1"/>
        </w:numPr>
        <w:tabs>
          <w:tab w:val="left" w:pos="284"/>
        </w:tabs>
        <w:spacing w:after="160"/>
        <w:contextualSpacing/>
        <w:jc w:val="both"/>
        <w:rPr>
          <w:rFonts w:ascii="Arial" w:eastAsia="Arial" w:hAnsi="Arial" w:cs="Arial"/>
          <w:sz w:val="20"/>
          <w:szCs w:val="22"/>
          <w:lang w:val="fr-FR"/>
        </w:rPr>
      </w:pPr>
      <w:r w:rsidRPr="00C8207E">
        <w:rPr>
          <w:rFonts w:ascii="Arial" w:eastAsia="Arial" w:hAnsi="Arial" w:cs="Arial"/>
          <w:sz w:val="20"/>
          <w:szCs w:val="20"/>
          <w:lang w:val="fr-FR"/>
        </w:rPr>
        <w:t>Instruments financiers détenus, émis et/ou gérés par le groupe.</w:t>
      </w:r>
      <w:bookmarkStart w:id="53" w:name="c4592d427170c916f00b9bf250a6d2e18_END"/>
      <w:bookmarkEnd w:id="53"/>
    </w:p>
    <w:p w:rsidR="001F4AEE" w14:paraId="5DC14DC7" w14:textId="77777777">
      <w:pPr>
        <w:pStyle w:val="BreakLine"/>
        <w:rPr>
          <w:lang w:val="fr-FR"/>
        </w:rPr>
      </w:pPr>
      <w:r>
        <w:rPr>
          <w:lang w:val="fr-FR"/>
        </w:rPr>
        <w:t xml:space="preserve"> </w:t>
      </w:r>
    </w:p>
    <w:p w:rsidR="001F4AEE" w14:paraId="5BD1AB93" w14:textId="77777777">
      <w:pPr>
        <w:pStyle w:val="TechnicalBookmark"/>
        <w:rPr>
          <w:lang w:val="fr-FR"/>
        </w:rPr>
      </w:pPr>
      <w:r>
        <w:rPr>
          <w:lang w:val="fr-FR"/>
        </w:rPr>
        <w:fldChar w:fldCharType="begin"/>
      </w:r>
      <w:r>
        <w:rPr>
          <w:lang w:val="fr-FR"/>
        </w:rPr>
        <w:instrText xml:space="preserve"> SET E793BEBE57CCBF0E42A2D4D7DD94F0D5 "" </w:instrText>
      </w:r>
      <w:r>
        <w:rPr>
          <w:lang w:val="fr-FR"/>
        </w:rPr>
        <w:fldChar w:fldCharType="separate"/>
      </w:r>
      <w:bookmarkStart w:id="54" w:name="E793BEBE57CCBF0E42A2D4D7DD94F0D5"/>
      <w:bookmarkEnd w:id="54"/>
      <w:r>
        <w:rPr>
          <w:lang w:val="fr-FR"/>
        </w:rPr>
        <w:fldChar w:fldCharType="end"/>
      </w:r>
    </w:p>
    <w:p w:rsidR="001F4AEE" w14:paraId="15B00FE7" w14:textId="77777777">
      <w:pPr>
        <w:pStyle w:val="H2SPACEBEFORE"/>
        <w:ind w:right="2400"/>
        <w:rPr>
          <w:lang w:val="fr-FR"/>
        </w:rPr>
      </w:pPr>
      <w:r>
        <w:rPr>
          <w:lang w:val="fr-FR"/>
        </w:rPr>
        <w:t>|</w:t>
      </w:r>
    </w:p>
    <w:p w:rsidR="001F4AEE" w14:paraId="1E5EE12B" w14:textId="77777777">
      <w:pPr>
        <w:pStyle w:val="H3"/>
        <w:rPr>
          <w:lang w:val="fr-FR"/>
        </w:rPr>
      </w:pPr>
      <w:bookmarkStart w:id="55" w:name="Calcul_du_risque_global"/>
      <w:bookmarkEnd w:id="55"/>
      <w:r>
        <w:rPr>
          <w:lang w:val="fr-FR"/>
        </w:rPr>
        <w:t>Calcul du risque global</w:t>
      </w:r>
    </w:p>
    <w:p w:rsidR="001F4AEE" w14:paraId="38F0F6B4" w14:textId="77777777">
      <w:pPr>
        <w:pStyle w:val="RefToc2"/>
        <w:rPr>
          <w:lang w:val="fr-FR"/>
        </w:rPr>
      </w:pPr>
      <w:bookmarkStart w:id="56" w:name="BK_E022DB93F8C3CE12F4AD8A226358B74B"/>
      <w:bookmarkEnd w:id="56"/>
    </w:p>
    <w:p w:rsidR="001F4AEE" w14:paraId="0F352731" w14:textId="77777777">
      <w:pPr>
        <w:pStyle w:val="TechnicalBookmark"/>
        <w:rPr>
          <w:lang w:val="fr-FR"/>
        </w:rPr>
      </w:pPr>
      <w:r>
        <w:rPr>
          <w:lang w:val="fr-FR"/>
        </w:rPr>
        <w:fldChar w:fldCharType="begin"/>
      </w:r>
      <w:r>
        <w:rPr>
          <w:lang w:val="fr-FR"/>
        </w:rPr>
        <w:instrText xml:space="preserve"> SET DCBEBFE754CD07D2272C68D1C489F28C "" </w:instrText>
      </w:r>
      <w:r>
        <w:rPr>
          <w:lang w:val="fr-FR"/>
        </w:rPr>
        <w:fldChar w:fldCharType="separate"/>
      </w:r>
      <w:bookmarkStart w:id="57" w:name="DCBEBFE754CD07D2272C68D1C489F28C"/>
      <w:bookmarkEnd w:id="57"/>
      <w:r>
        <w:rPr>
          <w:lang w:val="fr-FR"/>
        </w:rPr>
        <w:fldChar w:fldCharType="end"/>
      </w:r>
    </w:p>
    <w:p w:rsidR="008B2841" w:rsidRPr="00A845C8" w:rsidP="00A845C8" w14:paraId="052D4770" w14:textId="77777777">
      <w:pPr>
        <w:autoSpaceDE w:val="0"/>
        <w:autoSpaceDN w:val="0"/>
        <w:adjustRightInd w:val="0"/>
        <w:jc w:val="both"/>
        <w:rPr>
          <w:rFonts w:ascii="Arial" w:eastAsia="Arial" w:hAnsi="Arial" w:cs="Arial"/>
          <w:sz w:val="20"/>
          <w:szCs w:val="20"/>
          <w:lang w:val="fr-FR" w:eastAsia="fr-FR"/>
        </w:rPr>
      </w:pPr>
      <w:bookmarkStart w:id="58" w:name="ca2fc1fa4a25d897f10ce5457806b4e4c_START"/>
      <w:bookmarkEnd w:id="58"/>
      <w:r>
        <w:rPr>
          <w:rFonts w:ascii="Arial" w:eastAsia="Arial" w:hAnsi="Arial" w:cs="Arial"/>
          <w:sz w:val="20"/>
          <w:szCs w:val="20"/>
          <w:lang w:val="fr-FR" w:eastAsia="fr-FR"/>
        </w:rPr>
        <w:t>• Méthode de calcul du risque global : L’OPC utilise la méthode du calcul de l’engagement pour calculer le risque global de l’OPC sur les contrats financiers.</w:t>
      </w:r>
      <w:bookmarkStart w:id="59" w:name="ca2fc1fa4a25d897f10ce5457806b4e4c_END"/>
      <w:bookmarkEnd w:id="59"/>
    </w:p>
    <w:p w:rsidR="001F4AEE" w14:paraId="351A55DA" w14:textId="77777777">
      <w:pPr>
        <w:pStyle w:val="BreakLine"/>
        <w:rPr>
          <w:lang w:val="fr-FR"/>
        </w:rPr>
        <w:sectPr>
          <w:headerReference w:type="default" r:id="rId15"/>
          <w:footerReference w:type="default" r:id="rId16"/>
          <w:pgSz w:w="11900" w:h="16840"/>
          <w:pgMar w:top="2154" w:right="1134" w:bottom="1134" w:left="1134" w:header="400" w:footer="400" w:gutter="0"/>
          <w:cols w:space="720"/>
        </w:sectPr>
      </w:pPr>
      <w:r>
        <w:rPr>
          <w:lang w:val="fr-FR"/>
        </w:rPr>
        <w:t xml:space="preserve"> </w:t>
      </w:r>
      <w:r>
        <w:rPr>
          <w:lang w:val="fr-FR"/>
        </w:rPr>
        <w:cr/>
      </w:r>
    </w:p>
    <w:p w:rsidR="001F4AEE" w:rsidRPr="00D61EB0" w14:paraId="4E5C4E95" w14:textId="77777777">
      <w:pPr>
        <w:spacing w:line="15" w:lineRule="exact"/>
        <w:rPr>
          <w:lang w:val="fr-FR"/>
        </w:rPr>
      </w:pPr>
    </w:p>
    <w:p w:rsidR="001F4AEE" w14:paraId="463F816C" w14:textId="77777777">
      <w:pPr>
        <w:pStyle w:val="TechnicalBookmark"/>
        <w:rPr>
          <w:lang w:val="fr-FR"/>
        </w:rPr>
      </w:pPr>
      <w:r>
        <w:rPr>
          <w:lang w:val="fr-FR"/>
        </w:rPr>
        <w:fldChar w:fldCharType="begin"/>
      </w:r>
      <w:r>
        <w:rPr>
          <w:lang w:val="fr-FR"/>
        </w:rPr>
        <w:instrText xml:space="preserve"> SET 898E395107ED5F62EF9018B2C9C6CE17 "" </w:instrText>
      </w:r>
      <w:r>
        <w:rPr>
          <w:lang w:val="fr-FR"/>
        </w:rPr>
        <w:fldChar w:fldCharType="separate"/>
      </w:r>
      <w:bookmarkStart w:id="60" w:name="898E395107ED5F62EF9018B2C9C6CE17"/>
      <w:bookmarkEnd w:id="60"/>
      <w:r>
        <w:rPr>
          <w:lang w:val="fr-FR"/>
        </w:rPr>
        <w:fldChar w:fldCharType="end"/>
      </w:r>
    </w:p>
    <w:p w:rsidR="001F4AEE" w14:paraId="0D54D72B" w14:textId="77777777">
      <w:pPr>
        <w:pStyle w:val="H1"/>
        <w:rPr>
          <w:lang w:val="fr-FR"/>
        </w:rPr>
      </w:pPr>
      <w:bookmarkStart w:id="61" w:name="Attestation_du_commissaire_aux_comptes"/>
      <w:bookmarkEnd w:id="61"/>
      <w:r>
        <w:rPr>
          <w:lang w:val="fr-FR"/>
        </w:rPr>
        <w:t>Attestation du commissaire aux comptes</w:t>
      </w:r>
    </w:p>
    <w:p w:rsidR="001F4AEE" w14:paraId="0ACF3250" w14:textId="77777777">
      <w:pPr>
        <w:pStyle w:val="RefToc1"/>
        <w:rPr>
          <w:lang w:val="fr-FR"/>
        </w:rPr>
      </w:pPr>
      <w:bookmarkStart w:id="62" w:name="BK_D487902578DE4CE63BE2A7A02B6132C8"/>
      <w:bookmarkEnd w:id="62"/>
      <w:bookmarkStart w:id="63" w:name="_Toc256000009"/>
      <w:r>
        <w:rPr>
          <w:lang w:val="fr-FR"/>
        </w:rPr>
        <w:t>Attestation du commissaire aux comptes</w:t>
      </w:r>
      <w:bookmarkEnd w:id="63"/>
    </w:p>
    <w:p w:rsidR="001F4AEE" w14:paraId="49C9E88D" w14:textId="77777777">
      <w:pPr>
        <w:pStyle w:val="TechnicalBookmark"/>
        <w:rPr>
          <w:lang w:val="fr-FR"/>
        </w:rPr>
      </w:pPr>
      <w:r>
        <w:rPr>
          <w:lang w:val="fr-FR"/>
        </w:rPr>
        <w:fldChar w:fldCharType="begin"/>
      </w:r>
      <w:r>
        <w:rPr>
          <w:lang w:val="fr-FR"/>
        </w:rPr>
        <w:instrText xml:space="preserve"> SET 1847D88D129C0A2E823D54054B2678A2 "" </w:instrText>
      </w:r>
      <w:r>
        <w:rPr>
          <w:lang w:val="fr-FR"/>
        </w:rPr>
        <w:fldChar w:fldCharType="separate"/>
      </w:r>
      <w:bookmarkStart w:id="64" w:name="1847D88D129C0A2E823D54054B2678A2"/>
      <w:bookmarkEnd w:id="64"/>
      <w:r>
        <w:rPr>
          <w:lang w:val="fr-FR"/>
        </w:rPr>
        <w:fldChar w:fldCharType="end"/>
      </w:r>
    </w:p>
    <w:p w:rsidR="00A77B3E" w:rsidRPr="00D61EB0" w14:paraId="61EB399E" w14:textId="77777777">
      <w:pPr>
        <w:jc w:val="both"/>
        <w:rPr>
          <w:rFonts w:ascii="Arial" w:eastAsia="Arial" w:hAnsi="Arial" w:cs="Arial"/>
          <w:sz w:val="20"/>
          <w:lang w:val="fr-FR"/>
        </w:rPr>
      </w:pPr>
      <w:bookmarkStart w:id="65" w:name="cd0616a00ec608f92d3e7bb9272b3c101_START"/>
      <w:bookmarkEnd w:id="65"/>
      <w:r>
        <w:rPr>
          <w:noProof/>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758" cy="10693400"/>
            <wp:effectExtent l="0" t="0" r="0" b="0"/>
            <wp:wrapNone/>
            <wp:docPr id="100001" name="Imag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7"/>
                    <a:stretch>
                      <a:fillRect/>
                    </a:stretch>
                  </pic:blipFill>
                  <pic:spPr>
                    <a:xfrm>
                      <a:off x="0" y="0"/>
                      <a:ext cx="7559758" cy="10693400"/>
                    </a:xfrm>
                    <a:prstGeom prst="rect">
                      <a:avLst/>
                    </a:prstGeom>
                  </pic:spPr>
                </pic:pic>
              </a:graphicData>
            </a:graphic>
          </wp:anchor>
        </w:drawing>
      </w:r>
    </w:p>
    <w:p w:rsidR="001F4AEE" w14:paraId="180E5EC8" w14:textId="77777777">
      <w:pPr>
        <w:pStyle w:val="ContributionStart"/>
        <w:rPr>
          <w:lang w:val="fr-FR"/>
        </w:rPr>
        <w:sectPr>
          <w:headerReference w:type="default" r:id="rId18"/>
          <w:footerReference w:type="default" r:id="rId19"/>
          <w:pgSz w:w="11900" w:h="16840"/>
          <w:pgMar w:top="2154" w:right="1134" w:bottom="1134" w:left="1134" w:header="400" w:footer="400" w:gutter="0"/>
          <w:cols w:space="720"/>
        </w:sectPr>
      </w:pPr>
      <w:bookmarkStart w:id="66" w:name="cd0616a00ec608f92d3e7bb9272b3c101_END"/>
      <w:bookmarkEnd w:id="66"/>
    </w:p>
    <w:p w:rsidR="001F4AEE" w:rsidRPr="00D61EB0" w14:paraId="7A56E636" w14:textId="77777777">
      <w:pPr>
        <w:spacing w:line="15" w:lineRule="exact"/>
        <w:rPr>
          <w:lang w:val="fr-FR"/>
        </w:rPr>
      </w:pPr>
    </w:p>
    <w:p w:rsidR="001F4AEE" w14:paraId="72CA915C" w14:textId="77777777">
      <w:pPr>
        <w:pStyle w:val="TechnicalBookmark"/>
        <w:rPr>
          <w:lang w:val="fr-FR"/>
        </w:rPr>
      </w:pPr>
      <w:r>
        <w:rPr>
          <w:lang w:val="fr-FR"/>
        </w:rPr>
        <w:fldChar w:fldCharType="begin"/>
      </w:r>
      <w:r>
        <w:rPr>
          <w:lang w:val="fr-FR"/>
        </w:rPr>
        <w:instrText xml:space="preserve"> SET B4197D284FB851B60802418C58CD492F "" </w:instrText>
      </w:r>
      <w:r>
        <w:rPr>
          <w:lang w:val="fr-FR"/>
        </w:rPr>
        <w:fldChar w:fldCharType="separate"/>
      </w:r>
      <w:bookmarkStart w:id="67" w:name="B4197D284FB851B60802418C58CD492F"/>
      <w:bookmarkEnd w:id="67"/>
      <w:r>
        <w:rPr>
          <w:lang w:val="fr-FR"/>
        </w:rPr>
        <w:fldChar w:fldCharType="end"/>
      </w:r>
    </w:p>
    <w:p w:rsidR="001F4AEE" w14:paraId="60377E6A" w14:textId="77777777">
      <w:pPr>
        <w:pStyle w:val="H1"/>
        <w:rPr>
          <w:lang w:val="fr-FR"/>
        </w:rPr>
      </w:pPr>
      <w:bookmarkStart w:id="68" w:name="Inventaire_des_actifs_et_passifs"/>
      <w:bookmarkEnd w:id="68"/>
      <w:r>
        <w:rPr>
          <w:lang w:val="fr-FR"/>
        </w:rPr>
        <w:t>Inventaire des actifs et passifs</w:t>
      </w:r>
    </w:p>
    <w:p w:rsidR="001F4AEE" w14:paraId="4BF99C6C" w14:textId="77777777">
      <w:pPr>
        <w:pStyle w:val="RefToc1"/>
        <w:rPr>
          <w:lang w:val="fr-FR"/>
        </w:rPr>
      </w:pPr>
      <w:bookmarkStart w:id="69" w:name="BK_0EA88ABE481BF2F84BDF07F23D91E1B2"/>
      <w:bookmarkEnd w:id="69"/>
      <w:bookmarkStart w:id="70" w:name="_Toc256000010"/>
      <w:r>
        <w:rPr>
          <w:lang w:val="fr-FR"/>
        </w:rPr>
        <w:t>Portefeuille Titres Détaillé</w:t>
      </w:r>
      <w:bookmarkEnd w:id="70"/>
    </w:p>
    <w:p w:rsidR="001F4AEE" w14:paraId="41F2B500" w14:textId="77777777">
      <w:pPr>
        <w:pStyle w:val="TechnicalBookmark"/>
        <w:rPr>
          <w:lang w:val="fr-FR"/>
        </w:rPr>
      </w:pPr>
      <w:r>
        <w:rPr>
          <w:lang w:val="fr-FR"/>
        </w:rPr>
        <w:fldChar w:fldCharType="begin"/>
      </w:r>
      <w:r>
        <w:rPr>
          <w:lang w:val="fr-FR"/>
        </w:rPr>
        <w:instrText xml:space="preserve"> SET CB61713994CDA24B64B33C190C6A72EE "" </w:instrText>
      </w:r>
      <w:r>
        <w:rPr>
          <w:lang w:val="fr-FR"/>
        </w:rPr>
        <w:fldChar w:fldCharType="separate"/>
      </w:r>
      <w:bookmarkStart w:id="71" w:name="CB61713994CDA24B64B33C190C6A72EE"/>
      <w:bookmarkEnd w:id="71"/>
      <w:r>
        <w:rPr>
          <w:lang w:val="fr-FR"/>
        </w:rPr>
        <w:fldChar w:fldCharType="end"/>
      </w:r>
    </w:p>
    <w:p w:rsidR="001F4AEE" w14:paraId="17168BB5" w14:textId="77777777">
      <w:pPr>
        <w:pStyle w:val="TechnicalBookmark"/>
        <w:rPr>
          <w:lang w:val="fr-FR"/>
        </w:rPr>
      </w:pPr>
      <w:r>
        <w:rPr>
          <w:lang w:val="fr-FR"/>
        </w:rPr>
        <w:fldChar w:fldCharType="begin"/>
      </w:r>
      <w:r>
        <w:rPr>
          <w:lang w:val="fr-FR"/>
        </w:rPr>
        <w:instrText xml:space="preserve"> SET 8766C2D3C861D2C19C59E8C99BF16786 "" </w:instrText>
      </w:r>
      <w:r>
        <w:rPr>
          <w:lang w:val="fr-FR"/>
        </w:rPr>
        <w:fldChar w:fldCharType="separate"/>
      </w:r>
      <w:bookmarkStart w:id="72" w:name="8766C2D3C861D2C19C59E8C99BF16786"/>
      <w:bookmarkEnd w:id="72"/>
      <w:r>
        <w:rPr>
          <w:lang w:val="fr-FR"/>
        </w:rPr>
        <w:fldChar w:fldCharType="end"/>
      </w:r>
    </w:p>
    <w:p w:rsidR="001F4AEE" w14:paraId="56FA55E6" w14:textId="77777777">
      <w:pPr>
        <w:pStyle w:val="H2"/>
        <w:rPr>
          <w:lang w:val="fr-FR"/>
        </w:rPr>
      </w:pPr>
      <w:bookmarkStart w:id="73" w:name="Inventaire_des_éléments_de_bilan"/>
      <w:bookmarkEnd w:id="73"/>
      <w:r>
        <w:rPr>
          <w:lang w:val="fr-FR"/>
        </w:rPr>
        <w:t>Inventaire des éléments de bilan</w:t>
      </w:r>
    </w:p>
    <w:p w:rsidR="001F4AEE" w14:paraId="5CBE4CC4" w14:textId="77777777">
      <w:pPr>
        <w:pStyle w:val="RefToc2"/>
        <w:rPr>
          <w:lang w:val="fr-FR"/>
        </w:rPr>
      </w:pPr>
      <w:bookmarkStart w:id="74" w:name="BK_56E4CBA9F18DC97583FDF0BFB2A7E3E0"/>
      <w:bookmarkEnd w:id="74"/>
    </w:p>
    <w:p w:rsidR="001F4AEE" w14:paraId="0B93F0D8" w14:textId="77777777">
      <w:pPr>
        <w:pStyle w:val="TechnicalBookmark"/>
        <w:rPr>
          <w:lang w:val="fr-FR"/>
        </w:rPr>
      </w:pPr>
      <w:r>
        <w:rPr>
          <w:lang w:val="fr-FR"/>
        </w:rPr>
        <w:fldChar w:fldCharType="begin"/>
      </w:r>
      <w:r>
        <w:rPr>
          <w:lang w:val="fr-FR"/>
        </w:rPr>
        <w:instrText xml:space="preserve"> SET 7FEB880F0AD8034FAB789F3DE82437DD "" </w:instrText>
      </w:r>
      <w:r>
        <w:rPr>
          <w:lang w:val="fr-FR"/>
        </w:rPr>
        <w:fldChar w:fldCharType="separate"/>
      </w:r>
      <w:bookmarkStart w:id="75" w:name="7FEB880F0AD8034FAB789F3DE82437DD"/>
      <w:bookmarkEnd w:id="75"/>
      <w:r>
        <w:rPr>
          <w:lang w:val="fr-FR"/>
        </w:rPr>
        <w:fldChar w:fldCharType="end"/>
      </w:r>
    </w:p>
    <w:p w:rsidR="001F4AEE" w14:paraId="458B48B0"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034FE62B"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0B7066F3"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722A380A"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8B4C793" w14:textId="77777777">
            <w:pPr>
              <w:pStyle w:val="EnteteTabMiddleColBordure"/>
              <w:spacing w:line="184" w:lineRule="exact"/>
              <w:rPr>
                <w:lang w:val="fr-FR"/>
              </w:rPr>
            </w:pPr>
            <w:r>
              <w:rPr>
                <w:lang w:val="fr-FR"/>
              </w:rPr>
              <w:t>Quantité ou</w:t>
            </w:r>
          </w:p>
          <w:p w:rsidR="001F4AEE" w14:paraId="2A593AA1"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3C2AFF5E"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58937A8F" w14:textId="77777777">
            <w:pPr>
              <w:pStyle w:val="EnteteTabLastColBordure"/>
              <w:spacing w:line="184" w:lineRule="exact"/>
              <w:rPr>
                <w:lang w:val="fr-FR"/>
              </w:rPr>
            </w:pPr>
            <w:r>
              <w:rPr>
                <w:lang w:val="fr-FR"/>
              </w:rPr>
              <w:t>% Actif</w:t>
            </w:r>
          </w:p>
          <w:p w:rsidR="001F4AEE" w14:paraId="2CD1AFBE" w14:textId="77777777">
            <w:pPr>
              <w:pStyle w:val="EnteteTabLastColBordure"/>
              <w:spacing w:line="184" w:lineRule="exact"/>
              <w:rPr>
                <w:lang w:val="fr-FR"/>
              </w:rPr>
            </w:pPr>
            <w:r>
              <w:rPr>
                <w:lang w:val="fr-FR"/>
              </w:rPr>
              <w:t>Net</w:t>
            </w:r>
          </w:p>
        </w:tc>
      </w:tr>
      <w:tr w14:paraId="4052A3BC" w14:textId="77777777">
        <w:tblPrEx>
          <w:tblW w:w="5000" w:type="pct"/>
          <w:tblLayout w:type="fixed"/>
          <w:tblLook w:val="04A0"/>
        </w:tblPrEx>
        <w:trPr>
          <w:trHeight w:hRule="exact" w:val="45"/>
        </w:trPr>
        <w:tc>
          <w:tcPr>
            <w:tcW w:w="5460" w:type="dxa"/>
            <w:tcBorders>
              <w:left w:val="single" w:sz="4" w:space="0" w:color="000000"/>
            </w:tcBorders>
            <w:tcMar>
              <w:top w:w="0" w:type="dxa"/>
              <w:left w:w="0" w:type="dxa"/>
              <w:bottom w:w="0" w:type="dxa"/>
              <w:right w:w="0" w:type="dxa"/>
            </w:tcMar>
            <w:vAlign w:val="center"/>
          </w:tcPr>
          <w:p w:rsidR="001F4AEE" w14:paraId="2B3DA071" w14:textId="77777777">
            <w:pPr>
              <w:pStyle w:val="Tab1FirstColGrasNoContent"/>
              <w:rPr>
                <w:sz w:val="16"/>
                <w:lang w:val="fr-FR"/>
              </w:rPr>
            </w:pP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7640D7F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30A9B8B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7A20B8F8" w14:textId="77777777">
            <w:pPr>
              <w:pStyle w:val="Tab1MiddleColGrasNoContent"/>
              <w:rPr>
                <w:sz w:val="16"/>
                <w:lang w:val="fr-FR"/>
              </w:rPr>
            </w:pP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464F688" w14:textId="77777777">
            <w:pPr>
              <w:pStyle w:val="Tab1LastColGrasNoContent"/>
              <w:rPr>
                <w:sz w:val="16"/>
                <w:lang w:val="fr-FR"/>
              </w:rPr>
            </w:pPr>
          </w:p>
        </w:tc>
      </w:tr>
      <w:tr w14:paraId="317B450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3D604574" w14:textId="77777777">
            <w:pPr>
              <w:pStyle w:val="Tab1FirstColGras"/>
              <w:rPr>
                <w:lang w:val="fr-FR"/>
              </w:rPr>
            </w:pPr>
            <w:r>
              <w:rPr>
                <w:lang w:val="fr-FR"/>
              </w:rPr>
              <w:t>ACTIONS ET VALEURS ASSIMILÉES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31554B08"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302C4E3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2EC18BCB" w14:textId="77777777">
            <w:pPr>
              <w:pStyle w:val="Tab1MiddleColGras"/>
              <w:rPr>
                <w:lang w:val="fr-FR"/>
              </w:rPr>
            </w:pPr>
            <w:r>
              <w:rPr>
                <w:lang w:val="fr-FR"/>
              </w:rPr>
              <w:t>346 880 379,46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21CAF3B" w14:textId="77777777">
            <w:pPr>
              <w:pStyle w:val="Tab1LastColGras"/>
              <w:rPr>
                <w:lang w:val="fr-FR"/>
              </w:rPr>
            </w:pPr>
            <w:r>
              <w:rPr>
                <w:lang w:val="fr-FR"/>
              </w:rPr>
              <w:t>99,65</w:t>
            </w:r>
          </w:p>
        </w:tc>
      </w:tr>
      <w:tr w14:paraId="378314A0"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6113C1CE" w14:textId="77777777">
            <w:pPr>
              <w:pStyle w:val="Tab1FirstColGras"/>
              <w:rPr>
                <w:lang w:val="fr-FR"/>
              </w:rPr>
            </w:pPr>
            <w:r>
              <w:rPr>
                <w:lang w:val="fr-FR"/>
              </w:rPr>
              <w:t>Actions et valeurs assimilées négociées sur un marché réglementé ou assimilé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4DFEF8B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99962F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1C779F8A" w14:textId="77777777">
            <w:pPr>
              <w:pStyle w:val="Tab1MiddleColGras"/>
              <w:rPr>
                <w:lang w:val="fr-FR"/>
              </w:rPr>
            </w:pPr>
            <w:r>
              <w:rPr>
                <w:lang w:val="fr-FR"/>
              </w:rPr>
              <w:t>346 775 918,64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4302EE0" w14:textId="77777777">
            <w:pPr>
              <w:pStyle w:val="Tab1LastColGras"/>
              <w:rPr>
                <w:lang w:val="fr-FR"/>
              </w:rPr>
            </w:pPr>
            <w:r>
              <w:rPr>
                <w:lang w:val="fr-FR"/>
              </w:rPr>
              <w:t>99,62</w:t>
            </w:r>
          </w:p>
        </w:tc>
      </w:tr>
      <w:tr w14:paraId="7292DCA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3ABB2261" w14:textId="77777777">
            <w:pPr>
              <w:pStyle w:val="Tab1FirstColGras"/>
              <w:rPr>
                <w:lang w:val="fr-FR"/>
              </w:rPr>
            </w:pPr>
            <w:r>
              <w:rPr>
                <w:lang w:val="fr-FR"/>
              </w:rPr>
              <w:t>Assurance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3822BE6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27F0379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4592379C" w14:textId="77777777">
            <w:pPr>
              <w:pStyle w:val="Tab1MiddleColGras"/>
              <w:rPr>
                <w:lang w:val="fr-FR"/>
              </w:rPr>
            </w:pPr>
            <w:r>
              <w:rPr>
                <w:lang w:val="fr-FR"/>
              </w:rPr>
              <w:t>11 169 360,57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56C30A5" w14:textId="77777777">
            <w:pPr>
              <w:pStyle w:val="Tab1LastColGras"/>
              <w:rPr>
                <w:lang w:val="fr-FR"/>
              </w:rPr>
            </w:pPr>
            <w:r>
              <w:rPr>
                <w:lang w:val="fr-FR"/>
              </w:rPr>
              <w:t>3,21</w:t>
            </w:r>
          </w:p>
        </w:tc>
      </w:tr>
      <w:tr w14:paraId="2DD9162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72864D7" w14:textId="77777777">
            <w:pPr>
              <w:pStyle w:val="Tab3FirstColNonGras"/>
              <w:rPr>
                <w:lang w:val="fr-FR"/>
              </w:rPr>
            </w:pPr>
            <w:r>
              <w:rPr>
                <w:lang w:val="fr-FR"/>
              </w:rPr>
              <w:t>ADMIRAL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3B141FB"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23D04AA" w14:textId="77777777">
            <w:pPr>
              <w:pStyle w:val="Tab3MiddleColNonGras"/>
              <w:rPr>
                <w:lang w:val="fr-FR"/>
              </w:rPr>
            </w:pPr>
            <w:r>
              <w:rPr>
                <w:lang w:val="fr-FR"/>
              </w:rPr>
              <w:t>1 860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9E8B65C" w14:textId="77777777">
            <w:pPr>
              <w:pStyle w:val="Tab3MiddleColNonGras"/>
              <w:rPr>
                <w:lang w:val="fr-FR"/>
              </w:rPr>
            </w:pPr>
            <w:r>
              <w:rPr>
                <w:lang w:val="fr-FR"/>
              </w:rPr>
              <w:t>83 348,01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FA8E800" w14:textId="77777777">
            <w:pPr>
              <w:pStyle w:val="Tab3LastColNonGras"/>
              <w:rPr>
                <w:lang w:val="fr-FR"/>
              </w:rPr>
            </w:pPr>
            <w:r>
              <w:rPr>
                <w:lang w:val="fr-FR"/>
              </w:rPr>
              <w:t>0,02</w:t>
            </w:r>
          </w:p>
        </w:tc>
      </w:tr>
      <w:tr w14:paraId="7CE03E5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C339AF3" w14:textId="77777777">
            <w:pPr>
              <w:pStyle w:val="Tab3FirstColNonGras"/>
              <w:rPr>
                <w:lang w:val="fr-FR"/>
              </w:rPr>
            </w:pPr>
            <w:r>
              <w:rPr>
                <w:lang w:val="fr-FR"/>
              </w:rPr>
              <w:t>AEGON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2CC52B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38EFD3E" w14:textId="77777777">
            <w:pPr>
              <w:pStyle w:val="Tab3MiddleColNonGras"/>
              <w:rPr>
                <w:lang w:val="fr-FR"/>
              </w:rPr>
            </w:pPr>
            <w:r>
              <w:rPr>
                <w:lang w:val="fr-FR"/>
              </w:rPr>
              <w:t>3 300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F961289" w14:textId="77777777">
            <w:pPr>
              <w:pStyle w:val="Tab3MiddleColNonGras"/>
              <w:rPr>
                <w:lang w:val="fr-FR"/>
              </w:rPr>
            </w:pPr>
            <w:r>
              <w:rPr>
                <w:lang w:val="fr-FR"/>
              </w:rPr>
              <w:t>23 815,54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B51D189" w14:textId="77777777">
            <w:pPr>
              <w:pStyle w:val="Tab3LastColNonGras"/>
              <w:rPr>
                <w:lang w:val="fr-FR"/>
              </w:rPr>
            </w:pPr>
            <w:r>
              <w:rPr>
                <w:lang w:val="fr-FR"/>
              </w:rPr>
              <w:t>0,01</w:t>
            </w:r>
          </w:p>
        </w:tc>
      </w:tr>
      <w:tr w14:paraId="76AF6B5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1C4C468" w14:textId="77777777">
            <w:pPr>
              <w:pStyle w:val="Tab3FirstColNonGras"/>
              <w:rPr>
                <w:lang w:val="fr-FR"/>
              </w:rPr>
            </w:pPr>
            <w:r>
              <w:rPr>
                <w:lang w:val="fr-FR"/>
              </w:rPr>
              <w:t>AFLAC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4AFAF2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2DF8884" w14:textId="77777777">
            <w:pPr>
              <w:pStyle w:val="Tab3MiddleColNonGras"/>
              <w:rPr>
                <w:lang w:val="fr-FR"/>
              </w:rPr>
            </w:pPr>
            <w:r>
              <w:rPr>
                <w:lang w:val="fr-FR"/>
              </w:rPr>
              <w:t>2 891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4851AE0" w14:textId="77777777">
            <w:pPr>
              <w:pStyle w:val="Tab3MiddleColNonGras"/>
              <w:rPr>
                <w:lang w:val="fr-FR"/>
              </w:rPr>
            </w:pPr>
            <w:r>
              <w:rPr>
                <w:lang w:val="fr-FR"/>
              </w:rPr>
              <w:t>304 884,86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164E4EE" w14:textId="77777777">
            <w:pPr>
              <w:pStyle w:val="Tab3LastColNonGras"/>
              <w:rPr>
                <w:lang w:val="fr-FR"/>
              </w:rPr>
            </w:pPr>
            <w:r>
              <w:rPr>
                <w:lang w:val="fr-FR"/>
              </w:rPr>
              <w:t>0,09</w:t>
            </w:r>
          </w:p>
        </w:tc>
      </w:tr>
      <w:tr w14:paraId="1548DF0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2B572CC" w14:textId="77777777">
            <w:pPr>
              <w:pStyle w:val="Tab3FirstColNonGras"/>
              <w:rPr>
                <w:lang w:val="fr-FR"/>
              </w:rPr>
            </w:pPr>
            <w:r>
              <w:rPr>
                <w:lang w:val="fr-FR"/>
              </w:rPr>
              <w:t>AGEAS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601CA8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DC4B09B" w14:textId="77777777">
            <w:pPr>
              <w:pStyle w:val="Tab3MiddleColNonGras"/>
              <w:rPr>
                <w:lang w:val="fr-FR"/>
              </w:rPr>
            </w:pPr>
            <w:r>
              <w:rPr>
                <w:lang w:val="fr-FR"/>
              </w:rPr>
              <w:t>979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DB8104A" w14:textId="77777777">
            <w:pPr>
              <w:pStyle w:val="Tab3MiddleColNonGras"/>
              <w:rPr>
                <w:lang w:val="fr-FR"/>
              </w:rPr>
            </w:pPr>
            <w:r>
              <w:rPr>
                <w:lang w:val="fr-FR"/>
              </w:rPr>
              <w:t>65 906,57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955A286" w14:textId="77777777">
            <w:pPr>
              <w:pStyle w:val="Tab3LastColNonGras"/>
              <w:rPr>
                <w:lang w:val="fr-FR"/>
              </w:rPr>
            </w:pPr>
            <w:r>
              <w:rPr>
                <w:lang w:val="fr-FR"/>
              </w:rPr>
              <w:t>0,02</w:t>
            </w:r>
          </w:p>
        </w:tc>
      </w:tr>
      <w:tr w14:paraId="4847BB7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79FC131" w14:textId="77777777">
            <w:pPr>
              <w:pStyle w:val="Tab3FirstColNonGras"/>
              <w:rPr>
                <w:lang w:val="fr-FR"/>
              </w:rPr>
            </w:pPr>
            <w:r>
              <w:rPr>
                <w:lang w:val="fr-FR"/>
              </w:rPr>
              <w:t>ALLIANZ SE-REG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6C3458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C4E0B06" w14:textId="77777777">
            <w:pPr>
              <w:pStyle w:val="Tab3MiddleColNonGras"/>
              <w:rPr>
                <w:lang w:val="fr-FR"/>
              </w:rPr>
            </w:pPr>
            <w:r>
              <w:rPr>
                <w:lang w:val="fr-FR"/>
              </w:rPr>
              <w:t>1 993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909E8FA" w14:textId="77777777">
            <w:pPr>
              <w:pStyle w:val="Tab3MiddleColNonGras"/>
              <w:rPr>
                <w:lang w:val="fr-FR"/>
              </w:rPr>
            </w:pPr>
            <w:r>
              <w:rPr>
                <w:lang w:val="fr-FR"/>
              </w:rPr>
              <w:t>805 016,12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C3BAC23" w14:textId="77777777">
            <w:pPr>
              <w:pStyle w:val="Tab3LastColNonGras"/>
              <w:rPr>
                <w:lang w:val="fr-FR"/>
              </w:rPr>
            </w:pPr>
            <w:r>
              <w:rPr>
                <w:lang w:val="fr-FR"/>
              </w:rPr>
              <w:t>0,26</w:t>
            </w:r>
          </w:p>
        </w:tc>
      </w:tr>
      <w:tr w14:paraId="0F98FC8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2EEBA4B" w14:textId="77777777">
            <w:pPr>
              <w:pStyle w:val="Tab3FirstColNonGras"/>
              <w:rPr>
                <w:lang w:val="fr-FR"/>
              </w:rPr>
            </w:pPr>
            <w:r>
              <w:rPr>
                <w:lang w:val="fr-FR"/>
              </w:rPr>
              <w:t>ALLSTATE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B6D735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0EF7F64" w14:textId="77777777">
            <w:pPr>
              <w:pStyle w:val="Tab3MiddleColNonGras"/>
              <w:rPr>
                <w:lang w:val="fr-FR"/>
              </w:rPr>
            </w:pPr>
            <w:r>
              <w:rPr>
                <w:lang w:val="fr-FR"/>
              </w:rPr>
              <w:t>1 428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EF7108C" w14:textId="77777777">
            <w:pPr>
              <w:pStyle w:val="Tab3MiddleColNonGras"/>
              <w:rPr>
                <w:lang w:val="fr-FR"/>
              </w:rPr>
            </w:pPr>
            <w:r>
              <w:rPr>
                <w:lang w:val="fr-FR"/>
              </w:rPr>
              <w:t>287 470,68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7428FF2" w14:textId="77777777">
            <w:pPr>
              <w:pStyle w:val="Tab3LastColNonGras"/>
              <w:rPr>
                <w:lang w:val="fr-FR"/>
              </w:rPr>
            </w:pPr>
            <w:r>
              <w:rPr>
                <w:lang w:val="fr-FR"/>
              </w:rPr>
              <w:t>0,08</w:t>
            </w:r>
          </w:p>
        </w:tc>
      </w:tr>
      <w:tr w14:paraId="4311219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B1C70B3" w14:textId="77777777">
            <w:pPr>
              <w:pStyle w:val="Tab3FirstColNonGras"/>
              <w:rPr>
                <w:lang w:val="fr-FR"/>
              </w:rPr>
            </w:pPr>
            <w:r>
              <w:rPr>
                <w:lang w:val="fr-FR"/>
              </w:rPr>
              <w:t>AMERICAN FINANCIAL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D1C82E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9D7C0B3" w14:textId="77777777">
            <w:pPr>
              <w:pStyle w:val="Tab3MiddleColNonGras"/>
              <w:rPr>
                <w:lang w:val="fr-FR"/>
              </w:rPr>
            </w:pPr>
            <w:r>
              <w:rPr>
                <w:lang w:val="fr-FR"/>
              </w:rPr>
              <w:t>347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5085D83" w14:textId="77777777">
            <w:pPr>
              <w:pStyle w:val="Tab3MiddleColNonGras"/>
              <w:rPr>
                <w:lang w:val="fr-FR"/>
              </w:rPr>
            </w:pPr>
            <w:r>
              <w:rPr>
                <w:lang w:val="fr-FR"/>
              </w:rPr>
              <w:t>43 794,87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CF80CD5" w14:textId="77777777">
            <w:pPr>
              <w:pStyle w:val="Tab3LastColNonGras"/>
              <w:rPr>
                <w:lang w:val="fr-FR"/>
              </w:rPr>
            </w:pPr>
            <w:r>
              <w:rPr>
                <w:lang w:val="fr-FR"/>
              </w:rPr>
              <w:t>0,01</w:t>
            </w:r>
          </w:p>
        </w:tc>
      </w:tr>
      <w:tr w14:paraId="2B6D83E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342925F" w14:textId="77777777">
            <w:pPr>
              <w:pStyle w:val="Tab3FirstColNonGras"/>
              <w:rPr>
                <w:lang w:val="fr-FR"/>
              </w:rPr>
            </w:pPr>
            <w:r>
              <w:rPr>
                <w:lang w:val="fr-FR"/>
              </w:rPr>
              <w:t>AMERICAN INTERNATIONAL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BF60B4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91C32B6" w14:textId="77777777">
            <w:pPr>
              <w:pStyle w:val="Tab3MiddleColNonGras"/>
              <w:rPr>
                <w:lang w:val="fr-FR"/>
              </w:rPr>
            </w:pPr>
            <w:r>
              <w:rPr>
                <w:lang w:val="fr-FR"/>
              </w:rPr>
              <w:t>3 027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9D24143" w14:textId="77777777">
            <w:pPr>
              <w:pStyle w:val="Tab3MiddleColNonGras"/>
              <w:rPr>
                <w:lang w:val="fr-FR"/>
              </w:rPr>
            </w:pPr>
            <w:r>
              <w:rPr>
                <w:lang w:val="fr-FR"/>
              </w:rPr>
              <w:t>259 080,93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21E9CAE" w14:textId="77777777">
            <w:pPr>
              <w:pStyle w:val="Tab3LastColNonGras"/>
              <w:rPr>
                <w:lang w:val="fr-FR"/>
              </w:rPr>
            </w:pPr>
            <w:r>
              <w:rPr>
                <w:lang w:val="fr-FR"/>
              </w:rPr>
              <w:t>0,07</w:t>
            </w:r>
          </w:p>
        </w:tc>
      </w:tr>
      <w:tr w14:paraId="40C9BED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36ABDDE" w14:textId="77777777">
            <w:pPr>
              <w:pStyle w:val="Tab3FirstColNonGras"/>
              <w:rPr>
                <w:lang w:val="fr-FR"/>
              </w:rPr>
            </w:pPr>
            <w:r>
              <w:rPr>
                <w:lang w:val="fr-FR"/>
              </w:rPr>
              <w:t>ARCH CAPITAL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102ABE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E8A07AC" w14:textId="77777777">
            <w:pPr>
              <w:pStyle w:val="Tab3MiddleColNonGras"/>
              <w:rPr>
                <w:lang w:val="fr-FR"/>
              </w:rPr>
            </w:pPr>
            <w:r>
              <w:rPr>
                <w:lang w:val="fr-FR"/>
              </w:rPr>
              <w:t>2 075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0553F41" w14:textId="77777777">
            <w:pPr>
              <w:pStyle w:val="Tab3MiddleColNonGras"/>
              <w:rPr>
                <w:lang w:val="fr-FR"/>
              </w:rPr>
            </w:pPr>
            <w:r>
              <w:rPr>
                <w:lang w:val="fr-FR"/>
              </w:rPr>
              <w:t>188 928,75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1687E80" w14:textId="77777777">
            <w:pPr>
              <w:pStyle w:val="Tab3LastColNonGras"/>
              <w:rPr>
                <w:lang w:val="fr-FR"/>
              </w:rPr>
            </w:pPr>
            <w:r>
              <w:rPr>
                <w:lang w:val="fr-FR"/>
              </w:rPr>
              <w:t>0,05</w:t>
            </w:r>
          </w:p>
        </w:tc>
      </w:tr>
      <w:tr w14:paraId="789A7ED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6AAAC0D" w14:textId="77777777">
            <w:pPr>
              <w:pStyle w:val="Tab3FirstColNonGras"/>
              <w:rPr>
                <w:lang w:val="fr-FR"/>
              </w:rPr>
            </w:pPr>
            <w:r>
              <w:rPr>
                <w:lang w:val="fr-FR"/>
              </w:rPr>
              <w:t>ARTHUR J GALLAGHER &amp;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C972AD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E526154" w14:textId="77777777">
            <w:pPr>
              <w:pStyle w:val="Tab3MiddleColNonGras"/>
              <w:rPr>
                <w:lang w:val="fr-FR"/>
              </w:rPr>
            </w:pPr>
            <w:r>
              <w:rPr>
                <w:lang w:val="fr-FR"/>
              </w:rPr>
              <w:t>1 365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96C9F57" w14:textId="77777777">
            <w:pPr>
              <w:pStyle w:val="Tab3MiddleColNonGras"/>
              <w:rPr>
                <w:lang w:val="fr-FR"/>
              </w:rPr>
            </w:pPr>
            <w:r>
              <w:rPr>
                <w:lang w:val="fr-FR"/>
              </w:rPr>
              <w:t>436 963,80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729C5EA" w14:textId="77777777">
            <w:pPr>
              <w:pStyle w:val="Tab3LastColNonGras"/>
              <w:rPr>
                <w:lang w:val="fr-FR"/>
              </w:rPr>
            </w:pPr>
            <w:r>
              <w:rPr>
                <w:lang w:val="fr-FR"/>
              </w:rPr>
              <w:t>0,13</w:t>
            </w:r>
          </w:p>
        </w:tc>
      </w:tr>
      <w:tr w14:paraId="6052F92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A010054" w14:textId="77777777">
            <w:pPr>
              <w:pStyle w:val="Tab3FirstColNonGras"/>
              <w:rPr>
                <w:lang w:val="fr-FR"/>
              </w:rPr>
            </w:pPr>
            <w:r>
              <w:rPr>
                <w:lang w:val="fr-FR"/>
              </w:rPr>
              <w:t>ASR NEDERLAND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3768B0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5C076B1" w14:textId="77777777">
            <w:pPr>
              <w:pStyle w:val="Tab3MiddleColNonGras"/>
              <w:rPr>
                <w:lang w:val="fr-FR"/>
              </w:rPr>
            </w:pPr>
            <w:r>
              <w:rPr>
                <w:lang w:val="fr-FR"/>
              </w:rPr>
              <w:t>646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396348C" w14:textId="77777777">
            <w:pPr>
              <w:pStyle w:val="Tab3MiddleColNonGras"/>
              <w:rPr>
                <w:lang w:val="fr-FR"/>
              </w:rPr>
            </w:pPr>
            <w:r>
              <w:rPr>
                <w:lang w:val="fr-FR"/>
              </w:rPr>
              <w:t>42 753,35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46ACD4F" w14:textId="77777777">
            <w:pPr>
              <w:pStyle w:val="Tab3LastColNonGras"/>
              <w:rPr>
                <w:lang w:val="fr-FR"/>
              </w:rPr>
            </w:pPr>
            <w:r>
              <w:rPr>
                <w:lang w:val="fr-FR"/>
              </w:rPr>
              <w:t>0,01</w:t>
            </w:r>
          </w:p>
        </w:tc>
      </w:tr>
      <w:tr w14:paraId="1C0752F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A2C7859" w14:textId="77777777">
            <w:pPr>
              <w:pStyle w:val="Tab3FirstColNonGras"/>
              <w:rPr>
                <w:lang w:val="fr-FR"/>
              </w:rPr>
            </w:pPr>
            <w:r>
              <w:rPr>
                <w:lang w:val="fr-FR"/>
              </w:rPr>
              <w:t>AVIVA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711D6DB"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26C7850" w14:textId="77777777">
            <w:pPr>
              <w:pStyle w:val="Tab3MiddleColNonGras"/>
              <w:rPr>
                <w:lang w:val="fr-FR"/>
              </w:rPr>
            </w:pPr>
            <w:r>
              <w:rPr>
                <w:lang w:val="fr-FR"/>
              </w:rPr>
              <w:t>13 581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65045FD" w14:textId="77777777">
            <w:pPr>
              <w:pStyle w:val="Tab3MiddleColNonGras"/>
              <w:rPr>
                <w:lang w:val="fr-FR"/>
              </w:rPr>
            </w:pPr>
            <w:r>
              <w:rPr>
                <w:lang w:val="fr-FR"/>
              </w:rPr>
              <w:t>115 238,40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099EC34" w14:textId="77777777">
            <w:pPr>
              <w:pStyle w:val="Tab3LastColNonGras"/>
              <w:rPr>
                <w:lang w:val="fr-FR"/>
              </w:rPr>
            </w:pPr>
            <w:r>
              <w:rPr>
                <w:lang w:val="fr-FR"/>
              </w:rPr>
              <w:t>0,03</w:t>
            </w:r>
          </w:p>
        </w:tc>
      </w:tr>
      <w:tr w14:paraId="35604E1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005CF66" w14:textId="77777777">
            <w:pPr>
              <w:pStyle w:val="Tab3FirstColNonGras"/>
              <w:rPr>
                <w:lang w:val="fr-FR"/>
              </w:rPr>
            </w:pPr>
            <w:r>
              <w:rPr>
                <w:lang w:val="fr-FR"/>
              </w:rPr>
              <w:t>AXA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9F272D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52B91F2" w14:textId="77777777">
            <w:pPr>
              <w:pStyle w:val="Tab3MiddleColNonGras"/>
              <w:rPr>
                <w:lang w:val="fr-FR"/>
              </w:rPr>
            </w:pPr>
            <w:r>
              <w:rPr>
                <w:lang w:val="fr-FR"/>
              </w:rPr>
              <w:t>8 627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38AB879" w14:textId="77777777">
            <w:pPr>
              <w:pStyle w:val="Tab3MiddleColNonGras"/>
              <w:rPr>
                <w:lang w:val="fr-FR"/>
              </w:rPr>
            </w:pPr>
            <w:r>
              <w:rPr>
                <w:lang w:val="fr-FR"/>
              </w:rPr>
              <w:t>421 983,92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BD3BF57" w14:textId="77777777">
            <w:pPr>
              <w:pStyle w:val="Tab3LastColNonGras"/>
              <w:rPr>
                <w:lang w:val="fr-FR"/>
              </w:rPr>
            </w:pPr>
            <w:r>
              <w:rPr>
                <w:lang w:val="fr-FR"/>
              </w:rPr>
              <w:t>0,12</w:t>
            </w:r>
          </w:p>
        </w:tc>
      </w:tr>
      <w:tr w14:paraId="5F5B5C0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AA087F8" w14:textId="77777777">
            <w:pPr>
              <w:pStyle w:val="Tab3FirstColNonGras"/>
              <w:rPr>
                <w:lang w:val="fr-FR"/>
              </w:rPr>
            </w:pPr>
            <w:r>
              <w:rPr>
                <w:lang w:val="fr-FR"/>
              </w:rPr>
              <w:t>BALOISE HOLDING AG - 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B8D171A"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EBC0A66" w14:textId="77777777">
            <w:pPr>
              <w:pStyle w:val="Tab3MiddleColNonGras"/>
              <w:rPr>
                <w:lang w:val="fr-FR"/>
              </w:rPr>
            </w:pPr>
            <w:r>
              <w:rPr>
                <w:lang w:val="fr-FR"/>
              </w:rPr>
              <w:t>145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EE7CF9C" w14:textId="77777777">
            <w:pPr>
              <w:pStyle w:val="Tab3MiddleColNonGras"/>
              <w:rPr>
                <w:lang w:val="fr-FR"/>
              </w:rPr>
            </w:pPr>
            <w:r>
              <w:rPr>
                <w:lang w:val="fr-FR"/>
              </w:rPr>
              <w:t>34 101,77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E14645F" w14:textId="77777777">
            <w:pPr>
              <w:pStyle w:val="Tab3LastColNonGras"/>
              <w:rPr>
                <w:lang w:val="fr-FR"/>
              </w:rPr>
            </w:pPr>
            <w:r>
              <w:rPr>
                <w:lang w:val="fr-FR"/>
              </w:rPr>
              <w:t>0,01</w:t>
            </w:r>
          </w:p>
        </w:tc>
      </w:tr>
      <w:tr w14:paraId="66702D8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EE6C911" w14:textId="77777777">
            <w:pPr>
              <w:pStyle w:val="Tab3FirstColNonGras"/>
              <w:rPr>
                <w:lang w:val="fr-FR"/>
              </w:rPr>
            </w:pPr>
            <w:r>
              <w:rPr>
                <w:lang w:val="fr-FR"/>
              </w:rPr>
              <w:t>BROWN &amp; BROWN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6BC7E6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84AC8A2" w14:textId="77777777">
            <w:pPr>
              <w:pStyle w:val="Tab3MiddleColNonGras"/>
              <w:rPr>
                <w:lang w:val="fr-FR"/>
              </w:rPr>
            </w:pPr>
            <w:r>
              <w:rPr>
                <w:lang w:val="fr-FR"/>
              </w:rPr>
              <w:t>1 312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7FFA8B2" w14:textId="77777777">
            <w:pPr>
              <w:pStyle w:val="Tab3MiddleColNonGras"/>
              <w:rPr>
                <w:lang w:val="fr-FR"/>
              </w:rPr>
            </w:pPr>
            <w:r>
              <w:rPr>
                <w:lang w:val="fr-FR"/>
              </w:rPr>
              <w:t>145 461,44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5F79731" w14:textId="77777777">
            <w:pPr>
              <w:pStyle w:val="Tab3LastColNonGras"/>
              <w:rPr>
                <w:lang w:val="fr-FR"/>
              </w:rPr>
            </w:pPr>
            <w:r>
              <w:rPr>
                <w:lang w:val="fr-FR"/>
              </w:rPr>
              <w:t>0,04</w:t>
            </w:r>
          </w:p>
        </w:tc>
      </w:tr>
      <w:tr w14:paraId="08D3082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88FA879" w14:textId="77777777">
            <w:pPr>
              <w:pStyle w:val="Tab3FirstColNonGras"/>
              <w:rPr>
                <w:lang w:val="fr-FR"/>
              </w:rPr>
            </w:pPr>
            <w:r>
              <w:rPr>
                <w:lang w:val="fr-FR"/>
              </w:rPr>
              <w:t>CHUBB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A3F23A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34723D2" w14:textId="77777777">
            <w:pPr>
              <w:pStyle w:val="Tab3MiddleColNonGras"/>
              <w:rPr>
                <w:lang w:val="fr-FR"/>
              </w:rPr>
            </w:pPr>
            <w:r>
              <w:rPr>
                <w:lang w:val="fr-FR"/>
              </w:rPr>
              <w:t>2 012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B35EF93" w14:textId="77777777">
            <w:pPr>
              <w:pStyle w:val="Tab3MiddleColNonGras"/>
              <w:rPr>
                <w:lang w:val="fr-FR"/>
              </w:rPr>
            </w:pPr>
            <w:r>
              <w:rPr>
                <w:lang w:val="fr-FR"/>
              </w:rPr>
              <w:t>582 916,64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F34D4C2" w14:textId="77777777">
            <w:pPr>
              <w:pStyle w:val="Tab3LastColNonGras"/>
              <w:rPr>
                <w:lang w:val="fr-FR"/>
              </w:rPr>
            </w:pPr>
            <w:r>
              <w:rPr>
                <w:lang w:val="fr-FR"/>
              </w:rPr>
              <w:t>0,17</w:t>
            </w:r>
          </w:p>
        </w:tc>
      </w:tr>
      <w:tr w14:paraId="358A014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2EC3BF9" w14:textId="77777777">
            <w:pPr>
              <w:pStyle w:val="Tab3FirstColNonGras"/>
              <w:rPr>
                <w:lang w:val="fr-FR"/>
              </w:rPr>
            </w:pPr>
            <w:r>
              <w:rPr>
                <w:lang w:val="fr-FR"/>
              </w:rPr>
              <w:t>CINCINNATI FINANCIAL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BC592B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599D5A9" w14:textId="77777777">
            <w:pPr>
              <w:pStyle w:val="Tab3MiddleColNonGras"/>
              <w:rPr>
                <w:lang w:val="fr-FR"/>
              </w:rPr>
            </w:pPr>
            <w:r>
              <w:rPr>
                <w:lang w:val="fr-FR"/>
              </w:rPr>
              <w:t>889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9A69F2B" w14:textId="77777777">
            <w:pPr>
              <w:pStyle w:val="Tab3MiddleColNonGras"/>
              <w:rPr>
                <w:lang w:val="fr-FR"/>
              </w:rPr>
            </w:pPr>
            <w:r>
              <w:rPr>
                <w:lang w:val="fr-FR"/>
              </w:rPr>
              <w:t>132 389,88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835083E" w14:textId="77777777">
            <w:pPr>
              <w:pStyle w:val="Tab3LastColNonGras"/>
              <w:rPr>
                <w:lang w:val="fr-FR"/>
              </w:rPr>
            </w:pPr>
            <w:r>
              <w:rPr>
                <w:lang w:val="fr-FR"/>
              </w:rPr>
              <w:t>0,04</w:t>
            </w:r>
          </w:p>
        </w:tc>
      </w:tr>
      <w:tr w14:paraId="70ABB69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A5FB09A" w14:textId="77777777">
            <w:pPr>
              <w:pStyle w:val="Tab3FirstColNonGras"/>
              <w:rPr>
                <w:lang w:val="fr-FR"/>
              </w:rPr>
            </w:pPr>
            <w:r>
              <w:rPr>
                <w:lang w:val="fr-FR"/>
              </w:rPr>
              <w:t>COREBRIDGE FINANCIAL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406B31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010C368" w14:textId="77777777">
            <w:pPr>
              <w:pStyle w:val="Tab3MiddleColNonGras"/>
              <w:rPr>
                <w:lang w:val="fr-FR"/>
              </w:rPr>
            </w:pPr>
            <w:r>
              <w:rPr>
                <w:lang w:val="fr-FR"/>
              </w:rPr>
              <w:t>529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E254F02" w14:textId="77777777">
            <w:pPr>
              <w:pStyle w:val="Tab3MiddleColNonGras"/>
              <w:rPr>
                <w:lang w:val="fr-FR"/>
              </w:rPr>
            </w:pPr>
            <w:r>
              <w:rPr>
                <w:lang w:val="fr-FR"/>
              </w:rPr>
              <w:t>18 779,50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85504F2" w14:textId="77777777">
            <w:pPr>
              <w:pStyle w:val="Tab3LastColNonGras"/>
              <w:rPr>
                <w:lang w:val="fr-FR"/>
              </w:rPr>
            </w:pPr>
            <w:r>
              <w:rPr>
                <w:lang w:val="fr-FR"/>
              </w:rPr>
              <w:t>0,01</w:t>
            </w:r>
          </w:p>
        </w:tc>
      </w:tr>
      <w:tr w14:paraId="732E7A5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0689AB3C" w14:textId="77777777">
            <w:pPr>
              <w:pStyle w:val="Tab3FirstColNonGras"/>
              <w:rPr>
                <w:lang w:val="en-US"/>
              </w:rPr>
            </w:pPr>
            <w:r w:rsidRPr="00D61EB0">
              <w:rPr>
                <w:lang w:val="en-US"/>
              </w:rPr>
              <w:t>DAI-ICHI LIFE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A7ADC8F"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66C49E5" w14:textId="77777777">
            <w:pPr>
              <w:pStyle w:val="Tab3MiddleColNonGras"/>
              <w:rPr>
                <w:lang w:val="fr-FR"/>
              </w:rPr>
            </w:pPr>
            <w:r>
              <w:rPr>
                <w:lang w:val="fr-FR"/>
              </w:rPr>
              <w:t>17 200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35B97E8" w14:textId="77777777">
            <w:pPr>
              <w:pStyle w:val="Tab3MiddleColNonGras"/>
              <w:rPr>
                <w:lang w:val="fr-FR"/>
              </w:rPr>
            </w:pPr>
            <w:r>
              <w:rPr>
                <w:lang w:val="fr-FR"/>
              </w:rPr>
              <w:t>130 507,82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BDF5E38" w14:textId="77777777">
            <w:pPr>
              <w:pStyle w:val="Tab3LastColNonGras"/>
              <w:rPr>
                <w:lang w:val="fr-FR"/>
              </w:rPr>
            </w:pPr>
            <w:r>
              <w:rPr>
                <w:lang w:val="fr-FR"/>
              </w:rPr>
              <w:t>0,04</w:t>
            </w:r>
          </w:p>
        </w:tc>
      </w:tr>
      <w:tr w14:paraId="3C3148D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59190A8A" w14:textId="77777777">
            <w:pPr>
              <w:pStyle w:val="Tab3FirstColNonGras"/>
              <w:rPr>
                <w:lang w:val="en-US"/>
              </w:rPr>
            </w:pPr>
            <w:r w:rsidRPr="00D61EB0">
              <w:rPr>
                <w:lang w:val="en-US"/>
              </w:rPr>
              <w:t>ERIE INDEMNITY COMPANY-CL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0B6385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99CEE4C" w14:textId="77777777">
            <w:pPr>
              <w:pStyle w:val="Tab3MiddleColNonGras"/>
              <w:rPr>
                <w:lang w:val="fr-FR"/>
              </w:rPr>
            </w:pPr>
            <w:r>
              <w:rPr>
                <w:lang w:val="fr-FR"/>
              </w:rPr>
              <w:t>126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46EC162" w14:textId="77777777">
            <w:pPr>
              <w:pStyle w:val="Tab3MiddleColNonGras"/>
              <w:rPr>
                <w:lang w:val="fr-FR"/>
              </w:rPr>
            </w:pPr>
            <w:r>
              <w:rPr>
                <w:lang w:val="fr-FR"/>
              </w:rPr>
              <w:t>43 695,54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7FDBC65" w14:textId="77777777">
            <w:pPr>
              <w:pStyle w:val="Tab3LastColNonGras"/>
              <w:rPr>
                <w:lang w:val="fr-FR"/>
              </w:rPr>
            </w:pPr>
            <w:r>
              <w:rPr>
                <w:lang w:val="fr-FR"/>
              </w:rPr>
              <w:t>0,01</w:t>
            </w:r>
          </w:p>
        </w:tc>
      </w:tr>
      <w:tr w14:paraId="128C9E2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9C3DA8F" w14:textId="77777777">
            <w:pPr>
              <w:pStyle w:val="Tab3FirstColNonGras"/>
              <w:rPr>
                <w:lang w:val="fr-FR"/>
              </w:rPr>
            </w:pPr>
            <w:r>
              <w:rPr>
                <w:lang w:val="fr-FR"/>
              </w:rPr>
              <w:t>EVEREST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9A48F3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9172711" w14:textId="77777777">
            <w:pPr>
              <w:pStyle w:val="Tab3MiddleColNonGras"/>
              <w:rPr>
                <w:lang w:val="fr-FR"/>
              </w:rPr>
            </w:pPr>
            <w:r>
              <w:rPr>
                <w:lang w:val="fr-FR"/>
              </w:rPr>
              <w:t>215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8429B34" w14:textId="77777777">
            <w:pPr>
              <w:pStyle w:val="Tab3MiddleColNonGras"/>
              <w:rPr>
                <w:lang w:val="fr-FR"/>
              </w:rPr>
            </w:pPr>
            <w:r>
              <w:rPr>
                <w:lang w:val="fr-FR"/>
              </w:rPr>
              <w:t>73 067,75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E490689" w14:textId="77777777">
            <w:pPr>
              <w:pStyle w:val="Tab3LastColNonGras"/>
              <w:rPr>
                <w:lang w:val="fr-FR"/>
              </w:rPr>
            </w:pPr>
            <w:r>
              <w:rPr>
                <w:lang w:val="fr-FR"/>
              </w:rPr>
              <w:t>0,02</w:t>
            </w:r>
          </w:p>
        </w:tc>
      </w:tr>
      <w:tr w14:paraId="3E8E403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79BCC41" w14:textId="77777777">
            <w:pPr>
              <w:pStyle w:val="Tab3FirstColNonGras"/>
              <w:rPr>
                <w:lang w:val="fr-FR"/>
              </w:rPr>
            </w:pPr>
            <w:r>
              <w:rPr>
                <w:lang w:val="fr-FR"/>
              </w:rPr>
              <w:t>FAIRFAX FINANCIAL VTG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EF7B925"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086B0FC" w14:textId="77777777">
            <w:pPr>
              <w:pStyle w:val="Tab3MiddleColNonGras"/>
              <w:rPr>
                <w:lang w:val="fr-FR"/>
              </w:rPr>
            </w:pPr>
            <w:r>
              <w:rPr>
                <w:lang w:val="fr-FR"/>
              </w:rPr>
              <w:t>95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A4086CB" w14:textId="77777777">
            <w:pPr>
              <w:pStyle w:val="Tab3MiddleColNonGras"/>
              <w:rPr>
                <w:lang w:val="fr-FR"/>
              </w:rPr>
            </w:pPr>
            <w:r>
              <w:rPr>
                <w:lang w:val="fr-FR"/>
              </w:rPr>
              <w:t>171 128,90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87FEC04" w14:textId="77777777">
            <w:pPr>
              <w:pStyle w:val="Tab3LastColNonGras"/>
              <w:rPr>
                <w:lang w:val="fr-FR"/>
              </w:rPr>
            </w:pPr>
            <w:r>
              <w:rPr>
                <w:lang w:val="fr-FR"/>
              </w:rPr>
              <w:t>0,05</w:t>
            </w:r>
          </w:p>
        </w:tc>
      </w:tr>
      <w:tr w14:paraId="4FB789A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242C4B0" w14:textId="77777777">
            <w:pPr>
              <w:pStyle w:val="Tab3FirstColNonGras"/>
              <w:rPr>
                <w:lang w:val="fr-FR"/>
              </w:rPr>
            </w:pPr>
            <w:r>
              <w:rPr>
                <w:lang w:val="fr-FR"/>
              </w:rPr>
              <w:t>GENERALI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680890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C168DF8" w14:textId="77777777">
            <w:pPr>
              <w:pStyle w:val="Tab3MiddleColNonGras"/>
              <w:rPr>
                <w:lang w:val="fr-FR"/>
              </w:rPr>
            </w:pPr>
            <w:r>
              <w:rPr>
                <w:lang w:val="fr-FR"/>
              </w:rPr>
              <w:t>4 613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8511931" w14:textId="77777777">
            <w:pPr>
              <w:pStyle w:val="Tab3MiddleColNonGras"/>
              <w:rPr>
                <w:lang w:val="fr-FR"/>
              </w:rPr>
            </w:pPr>
            <w:r>
              <w:rPr>
                <w:lang w:val="fr-FR"/>
              </w:rPr>
              <w:t>163 586,25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A404C2F" w14:textId="77777777">
            <w:pPr>
              <w:pStyle w:val="Tab3LastColNonGras"/>
              <w:rPr>
                <w:lang w:val="fr-FR"/>
              </w:rPr>
            </w:pPr>
            <w:r>
              <w:rPr>
                <w:lang w:val="fr-FR"/>
              </w:rPr>
              <w:t>0,05</w:t>
            </w:r>
          </w:p>
        </w:tc>
      </w:tr>
      <w:tr w14:paraId="3F8A912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F29B38C" w14:textId="77777777">
            <w:pPr>
              <w:pStyle w:val="Tab3FirstColNonGras"/>
              <w:rPr>
                <w:lang w:val="fr-FR"/>
              </w:rPr>
            </w:pPr>
            <w:r>
              <w:rPr>
                <w:lang w:val="fr-FR"/>
              </w:rPr>
              <w:t>GREAT-WEST LIFECO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DD9EBD0"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C3837E4" w14:textId="77777777">
            <w:pPr>
              <w:pStyle w:val="Tab3MiddleColNonGras"/>
              <w:rPr>
                <w:lang w:val="fr-FR"/>
              </w:rPr>
            </w:pPr>
            <w:r>
              <w:rPr>
                <w:lang w:val="fr-FR"/>
              </w:rPr>
              <w:t>1 367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3C521EA" w14:textId="77777777">
            <w:pPr>
              <w:pStyle w:val="Tab3MiddleColNonGras"/>
              <w:rPr>
                <w:lang w:val="fr-FR"/>
              </w:rPr>
            </w:pPr>
            <w:r>
              <w:rPr>
                <w:lang w:val="fr-FR"/>
              </w:rPr>
              <w:t>51 883,86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CB2B9B2" w14:textId="77777777">
            <w:pPr>
              <w:pStyle w:val="Tab3LastColNonGras"/>
              <w:rPr>
                <w:lang w:val="fr-FR"/>
              </w:rPr>
            </w:pPr>
            <w:r>
              <w:rPr>
                <w:lang w:val="fr-FR"/>
              </w:rPr>
              <w:t>0,01</w:t>
            </w:r>
          </w:p>
        </w:tc>
      </w:tr>
      <w:tr w14:paraId="29F110A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1EFFE9B" w14:textId="77777777">
            <w:pPr>
              <w:pStyle w:val="Tab3FirstColNonGras"/>
              <w:rPr>
                <w:lang w:val="fr-FR"/>
              </w:rPr>
            </w:pPr>
            <w:r>
              <w:rPr>
                <w:lang w:val="fr-FR"/>
              </w:rPr>
              <w:t>HANNOVER RUECK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F074DF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645AA8E" w14:textId="77777777">
            <w:pPr>
              <w:pStyle w:val="Tab3MiddleColNonGras"/>
              <w:rPr>
                <w:lang w:val="fr-FR"/>
              </w:rPr>
            </w:pPr>
            <w:r>
              <w:rPr>
                <w:lang w:val="fr-FR"/>
              </w:rPr>
              <w:t>335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9ACF687" w14:textId="77777777">
            <w:pPr>
              <w:pStyle w:val="Tab3MiddleColNonGras"/>
              <w:rPr>
                <w:lang w:val="fr-FR"/>
              </w:rPr>
            </w:pPr>
            <w:r>
              <w:rPr>
                <w:lang w:val="fr-FR"/>
              </w:rPr>
              <w:t>105 073,66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B7A9D4A" w14:textId="77777777">
            <w:pPr>
              <w:pStyle w:val="Tab3LastColNonGras"/>
              <w:rPr>
                <w:lang w:val="fr-FR"/>
              </w:rPr>
            </w:pPr>
            <w:r>
              <w:rPr>
                <w:lang w:val="fr-FR"/>
              </w:rPr>
              <w:t>0,03</w:t>
            </w:r>
          </w:p>
        </w:tc>
      </w:tr>
      <w:tr w14:paraId="1F92AD7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0189862" w14:textId="77777777">
            <w:pPr>
              <w:pStyle w:val="Tab3FirstColNonGras"/>
              <w:rPr>
                <w:lang w:val="fr-FR"/>
              </w:rPr>
            </w:pPr>
            <w:r>
              <w:rPr>
                <w:lang w:val="fr-FR"/>
              </w:rPr>
              <w:t>HARTFORD INSURANCE GRP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A9AA68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9F3EC26" w14:textId="77777777">
            <w:pPr>
              <w:pStyle w:val="Tab3MiddleColNonGras"/>
              <w:rPr>
                <w:lang w:val="fr-FR"/>
              </w:rPr>
            </w:pPr>
            <w:r>
              <w:rPr>
                <w:lang w:val="fr-FR"/>
              </w:rPr>
              <w:t>1 555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DB75CDA" w14:textId="77777777">
            <w:pPr>
              <w:pStyle w:val="Tab3MiddleColNonGras"/>
              <w:rPr>
                <w:lang w:val="fr-FR"/>
              </w:rPr>
            </w:pPr>
            <w:r>
              <w:rPr>
                <w:lang w:val="fr-FR"/>
              </w:rPr>
              <w:t>197 282,85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E71D203" w14:textId="77777777">
            <w:pPr>
              <w:pStyle w:val="Tab3LastColNonGras"/>
              <w:rPr>
                <w:lang w:val="fr-FR"/>
              </w:rPr>
            </w:pPr>
            <w:r>
              <w:rPr>
                <w:lang w:val="fr-FR"/>
              </w:rPr>
              <w:t>0,06</w:t>
            </w:r>
          </w:p>
        </w:tc>
      </w:tr>
      <w:tr w14:paraId="24D113F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9163334" w14:textId="77777777">
            <w:pPr>
              <w:pStyle w:val="Tab3FirstColNonGras"/>
              <w:rPr>
                <w:lang w:val="fr-FR"/>
              </w:rPr>
            </w:pPr>
            <w:r>
              <w:rPr>
                <w:lang w:val="fr-FR"/>
              </w:rPr>
              <w:t>HELVETIA HOLDING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3B744D5"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8D86B47" w14:textId="77777777">
            <w:pPr>
              <w:pStyle w:val="Tab3MiddleColNonGras"/>
              <w:rPr>
                <w:lang w:val="fr-FR"/>
              </w:rPr>
            </w:pPr>
            <w:r>
              <w:rPr>
                <w:lang w:val="fr-FR"/>
              </w:rPr>
              <w:t>104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1988312" w14:textId="77777777">
            <w:pPr>
              <w:pStyle w:val="Tab3MiddleColNonGras"/>
              <w:rPr>
                <w:lang w:val="fr-FR"/>
              </w:rPr>
            </w:pPr>
            <w:r>
              <w:rPr>
                <w:lang w:val="fr-FR"/>
              </w:rPr>
              <w:t>24 315,47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2E9222D" w14:textId="77777777">
            <w:pPr>
              <w:pStyle w:val="Tab3LastColNonGras"/>
              <w:rPr>
                <w:lang w:val="fr-FR"/>
              </w:rPr>
            </w:pPr>
            <w:r>
              <w:rPr>
                <w:lang w:val="fr-FR"/>
              </w:rPr>
              <w:t>0,01</w:t>
            </w:r>
          </w:p>
        </w:tc>
      </w:tr>
      <w:tr w14:paraId="7185F45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3F852CA" w14:textId="77777777">
            <w:pPr>
              <w:pStyle w:val="Tab3FirstColNonGras"/>
              <w:rPr>
                <w:lang w:val="fr-FR"/>
              </w:rPr>
            </w:pPr>
            <w:r>
              <w:rPr>
                <w:lang w:val="fr-FR"/>
              </w:rPr>
              <w:t>IA FINANCIAL CORP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88CB140"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878C1FB" w14:textId="77777777">
            <w:pPr>
              <w:pStyle w:val="Tab3MiddleColNonGras"/>
              <w:rPr>
                <w:lang w:val="fr-FR"/>
              </w:rPr>
            </w:pPr>
            <w:r>
              <w:rPr>
                <w:lang w:val="fr-FR"/>
              </w:rPr>
              <w:t>443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BB6C34D" w14:textId="77777777">
            <w:pPr>
              <w:pStyle w:val="Tab3MiddleColNonGras"/>
              <w:rPr>
                <w:lang w:val="fr-FR"/>
              </w:rPr>
            </w:pPr>
            <w:r>
              <w:rPr>
                <w:lang w:val="fr-FR"/>
              </w:rPr>
              <w:t>48 467,69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D6F4A66" w14:textId="77777777">
            <w:pPr>
              <w:pStyle w:val="Tab3LastColNonGras"/>
              <w:rPr>
                <w:lang w:val="fr-FR"/>
              </w:rPr>
            </w:pPr>
            <w:r>
              <w:rPr>
                <w:lang w:val="fr-FR"/>
              </w:rPr>
              <w:t>0,01</w:t>
            </w:r>
          </w:p>
        </w:tc>
      </w:tr>
      <w:tr w14:paraId="729387F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AFB5372" w14:textId="77777777">
            <w:pPr>
              <w:pStyle w:val="Tab3FirstColNonGras"/>
              <w:rPr>
                <w:lang w:val="fr-FR"/>
              </w:rPr>
            </w:pPr>
            <w:r>
              <w:rPr>
                <w:lang w:val="fr-FR"/>
              </w:rPr>
              <w:t>INSURANCE AUSTRALIA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6BD0BE9"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D7EDF22" w14:textId="77777777">
            <w:pPr>
              <w:pStyle w:val="Tab3MiddleColNonGras"/>
              <w:rPr>
                <w:lang w:val="fr-FR"/>
              </w:rPr>
            </w:pPr>
            <w:r>
              <w:rPr>
                <w:lang w:val="fr-FR"/>
              </w:rPr>
              <w:t>12 266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742EDFF" w14:textId="77777777">
            <w:pPr>
              <w:pStyle w:val="Tab3MiddleColNonGras"/>
              <w:rPr>
                <w:lang w:val="fr-FR"/>
              </w:rPr>
            </w:pPr>
            <w:r>
              <w:rPr>
                <w:lang w:val="fr-FR"/>
              </w:rPr>
              <w:t>72 589,09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DB136E3" w14:textId="77777777">
            <w:pPr>
              <w:pStyle w:val="Tab3LastColNonGras"/>
              <w:rPr>
                <w:lang w:val="fr-FR"/>
              </w:rPr>
            </w:pPr>
            <w:r>
              <w:rPr>
                <w:lang w:val="fr-FR"/>
              </w:rPr>
              <w:t>0,02</w:t>
            </w:r>
          </w:p>
        </w:tc>
      </w:tr>
      <w:tr w14:paraId="7BA9329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0D4F9D6" w14:textId="77777777">
            <w:pPr>
              <w:pStyle w:val="Tab3FirstColNonGras"/>
              <w:rPr>
                <w:lang w:val="fr-FR"/>
              </w:rPr>
            </w:pPr>
            <w:r>
              <w:rPr>
                <w:lang w:val="fr-FR"/>
              </w:rPr>
              <w:t>INTACT FINANCIAL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5814336"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AFC387F" w14:textId="77777777">
            <w:pPr>
              <w:pStyle w:val="Tab3MiddleColNonGras"/>
              <w:rPr>
                <w:lang w:val="fr-FR"/>
              </w:rPr>
            </w:pPr>
            <w:r>
              <w:rPr>
                <w:lang w:val="fr-FR"/>
              </w:rPr>
              <w:t>874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9103DB8" w14:textId="77777777">
            <w:pPr>
              <w:pStyle w:val="Tab3MiddleColNonGras"/>
              <w:rPr>
                <w:lang w:val="fr-FR"/>
              </w:rPr>
            </w:pPr>
            <w:r>
              <w:rPr>
                <w:lang w:val="fr-FR"/>
              </w:rPr>
              <w:t>202 819,07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F1CB71A" w14:textId="77777777">
            <w:pPr>
              <w:pStyle w:val="Tab3LastColNonGras"/>
              <w:rPr>
                <w:lang w:val="fr-FR"/>
              </w:rPr>
            </w:pPr>
            <w:r>
              <w:rPr>
                <w:lang w:val="fr-FR"/>
              </w:rPr>
              <w:t>0,06</w:t>
            </w:r>
          </w:p>
        </w:tc>
      </w:tr>
      <w:tr w14:paraId="33E990D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2505C184" w14:textId="77777777">
            <w:pPr>
              <w:pStyle w:val="Tab3FirstColNonGras"/>
              <w:rPr>
                <w:lang w:val="en-US"/>
              </w:rPr>
            </w:pPr>
            <w:r w:rsidRPr="00D61EB0">
              <w:rPr>
                <w:lang w:val="en-US"/>
              </w:rPr>
              <w:t>JAPAN POST HOLDINGS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8DD9A86"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87E0204" w14:textId="77777777">
            <w:pPr>
              <w:pStyle w:val="Tab3MiddleColNonGras"/>
              <w:rPr>
                <w:lang w:val="fr-FR"/>
              </w:rPr>
            </w:pPr>
            <w:r>
              <w:rPr>
                <w:lang w:val="fr-FR"/>
              </w:rPr>
              <w:t>10 600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520062E" w14:textId="77777777">
            <w:pPr>
              <w:pStyle w:val="Tab3MiddleColNonGras"/>
              <w:rPr>
                <w:lang w:val="fr-FR"/>
              </w:rPr>
            </w:pPr>
            <w:r>
              <w:rPr>
                <w:lang w:val="fr-FR"/>
              </w:rPr>
              <w:t>98 004,78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899EB6E" w14:textId="77777777">
            <w:pPr>
              <w:pStyle w:val="Tab3LastColNonGras"/>
              <w:rPr>
                <w:lang w:val="fr-FR"/>
              </w:rPr>
            </w:pPr>
            <w:r>
              <w:rPr>
                <w:lang w:val="fr-FR"/>
              </w:rPr>
              <w:t>0,03</w:t>
            </w:r>
          </w:p>
        </w:tc>
      </w:tr>
      <w:tr w14:paraId="2424F62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2662C39" w14:textId="77777777">
            <w:pPr>
              <w:pStyle w:val="Tab3FirstColNonGras"/>
              <w:rPr>
                <w:lang w:val="fr-FR"/>
              </w:rPr>
            </w:pPr>
            <w:r>
              <w:rPr>
                <w:lang w:val="fr-FR"/>
              </w:rPr>
              <w:t>LEGAL &amp; GENERAL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4BB4F50"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0DE8A46" w14:textId="77777777">
            <w:pPr>
              <w:pStyle w:val="Tab3MiddleColNonGras"/>
              <w:rPr>
                <w:lang w:val="fr-FR"/>
              </w:rPr>
            </w:pPr>
            <w:r>
              <w:rPr>
                <w:lang w:val="fr-FR"/>
              </w:rPr>
              <w:t>29 917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46B93F1" w14:textId="77777777">
            <w:pPr>
              <w:pStyle w:val="Tab3MiddleColNonGras"/>
              <w:rPr>
                <w:lang w:val="fr-FR"/>
              </w:rPr>
            </w:pPr>
            <w:r>
              <w:rPr>
                <w:lang w:val="fr-FR"/>
              </w:rPr>
              <w:t>104 378,48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E176FB3" w14:textId="77777777">
            <w:pPr>
              <w:pStyle w:val="Tab3LastColNonGras"/>
              <w:rPr>
                <w:lang w:val="fr-FR"/>
              </w:rPr>
            </w:pPr>
            <w:r>
              <w:rPr>
                <w:lang w:val="fr-FR"/>
              </w:rPr>
              <w:t>0,03</w:t>
            </w:r>
          </w:p>
        </w:tc>
      </w:tr>
      <w:tr w14:paraId="1920D0D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9030A22" w14:textId="77777777">
            <w:pPr>
              <w:pStyle w:val="Tab3FirstColNonGras"/>
              <w:rPr>
                <w:lang w:val="fr-FR"/>
              </w:rPr>
            </w:pPr>
            <w:r>
              <w:rPr>
                <w:lang w:val="fr-FR"/>
              </w:rPr>
              <w:t>MANULIFE FINANCIAL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4A89264"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204F094" w14:textId="77777777">
            <w:pPr>
              <w:pStyle w:val="Tab3MiddleColNonGras"/>
              <w:rPr>
                <w:lang w:val="fr-FR"/>
              </w:rPr>
            </w:pPr>
            <w:r>
              <w:rPr>
                <w:lang w:val="fr-FR"/>
              </w:rPr>
              <w:t>14 949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28E26F8" w14:textId="77777777">
            <w:pPr>
              <w:pStyle w:val="Tab3MiddleColNonGras"/>
              <w:rPr>
                <w:lang w:val="fr-FR"/>
              </w:rPr>
            </w:pPr>
            <w:r>
              <w:rPr>
                <w:lang w:val="fr-FR"/>
              </w:rPr>
              <w:t>477 000,07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279E3B2" w14:textId="77777777">
            <w:pPr>
              <w:pStyle w:val="Tab3LastColNonGras"/>
              <w:rPr>
                <w:lang w:val="fr-FR"/>
              </w:rPr>
            </w:pPr>
            <w:r>
              <w:rPr>
                <w:lang w:val="fr-FR"/>
              </w:rPr>
              <w:t>0,14</w:t>
            </w:r>
          </w:p>
        </w:tc>
      </w:tr>
      <w:tr w14:paraId="54A243C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AF8DC9E" w14:textId="77777777">
            <w:pPr>
              <w:pStyle w:val="Tab3FirstColNonGras"/>
              <w:rPr>
                <w:lang w:val="fr-FR"/>
              </w:rPr>
            </w:pPr>
            <w:r>
              <w:rPr>
                <w:lang w:val="fr-FR"/>
              </w:rPr>
              <w:t>Markel</w:t>
            </w:r>
            <w:r>
              <w:rPr>
                <w:lang w:val="fr-FR"/>
              </w:rPr>
              <w:t xml:space="preserve"> Group </w:t>
            </w:r>
            <w:r>
              <w:rPr>
                <w:lang w:val="fr-FR"/>
              </w:rPr>
              <w:t>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834645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CF9B691" w14:textId="77777777">
            <w:pPr>
              <w:pStyle w:val="Tab3MiddleColNonGras"/>
              <w:rPr>
                <w:lang w:val="fr-FR"/>
              </w:rPr>
            </w:pPr>
            <w:r>
              <w:rPr>
                <w:lang w:val="fr-FR"/>
              </w:rPr>
              <w:t>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2DDC087" w14:textId="77777777">
            <w:pPr>
              <w:pStyle w:val="Tab3MiddleColNonGras"/>
              <w:rPr>
                <w:lang w:val="fr-FR"/>
              </w:rPr>
            </w:pPr>
            <w:r>
              <w:rPr>
                <w:lang w:val="fr-FR"/>
              </w:rPr>
              <w:t>123 836,32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02FCB97" w14:textId="77777777">
            <w:pPr>
              <w:pStyle w:val="Tab3LastColNonGras"/>
              <w:rPr>
                <w:lang w:val="fr-FR"/>
              </w:rPr>
            </w:pPr>
            <w:r>
              <w:rPr>
                <w:lang w:val="fr-FR"/>
              </w:rPr>
              <w:t>0,04</w:t>
            </w:r>
          </w:p>
        </w:tc>
      </w:tr>
      <w:tr w14:paraId="77F69F7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01041E0" w14:textId="77777777">
            <w:pPr>
              <w:pStyle w:val="Tab3FirstColNonGras"/>
              <w:rPr>
                <w:lang w:val="fr-FR"/>
              </w:rPr>
            </w:pPr>
            <w:r>
              <w:rPr>
                <w:lang w:val="fr-FR"/>
              </w:rPr>
              <w:t>MARSH &amp; MCLENNAN COS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ABC1AD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D5FB773" w14:textId="77777777">
            <w:pPr>
              <w:pStyle w:val="Tab3MiddleColNonGras"/>
              <w:rPr>
                <w:lang w:val="fr-FR"/>
              </w:rPr>
            </w:pPr>
            <w:r>
              <w:rPr>
                <w:lang w:val="fr-FR"/>
              </w:rPr>
              <w:t>2 583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C0D99D5" w14:textId="77777777">
            <w:pPr>
              <w:pStyle w:val="Tab3MiddleColNonGras"/>
              <w:rPr>
                <w:lang w:val="fr-FR"/>
              </w:rPr>
            </w:pPr>
            <w:r>
              <w:rPr>
                <w:lang w:val="fr-FR"/>
              </w:rPr>
              <w:t>564 747,12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0D35F29" w14:textId="77777777">
            <w:pPr>
              <w:pStyle w:val="Tab3LastColNonGras"/>
              <w:rPr>
                <w:lang w:val="fr-FR"/>
              </w:rPr>
            </w:pPr>
            <w:r>
              <w:rPr>
                <w:lang w:val="fr-FR"/>
              </w:rPr>
              <w:t>0,16</w:t>
            </w:r>
          </w:p>
        </w:tc>
      </w:tr>
      <w:tr w14:paraId="25561C1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B5107A0" w14:textId="77777777">
            <w:pPr>
              <w:pStyle w:val="Tab3FirstColNonGras"/>
              <w:rPr>
                <w:lang w:val="fr-FR"/>
              </w:rPr>
            </w:pPr>
            <w:r>
              <w:rPr>
                <w:lang w:val="fr-FR"/>
              </w:rPr>
              <w:t>MEDIBANK PRIVATE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E9E6C26"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EA7E4A5" w14:textId="77777777">
            <w:pPr>
              <w:pStyle w:val="Tab3MiddleColNonGras"/>
              <w:rPr>
                <w:lang w:val="fr-FR"/>
              </w:rPr>
            </w:pPr>
            <w:r>
              <w:rPr>
                <w:lang w:val="fr-FR"/>
              </w:rPr>
              <w:t>14 651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9FB44B7" w14:textId="77777777">
            <w:pPr>
              <w:pStyle w:val="Tab3MiddleColNonGras"/>
              <w:rPr>
                <w:lang w:val="fr-FR"/>
              </w:rPr>
            </w:pPr>
            <w:r>
              <w:rPr>
                <w:lang w:val="fr-FR"/>
              </w:rPr>
              <w:t>48 488,56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787F1DB" w14:textId="77777777">
            <w:pPr>
              <w:pStyle w:val="Tab3LastColNonGras"/>
              <w:rPr>
                <w:lang w:val="fr-FR"/>
              </w:rPr>
            </w:pPr>
            <w:r>
              <w:rPr>
                <w:lang w:val="fr-FR"/>
              </w:rPr>
              <w:t>0,01</w:t>
            </w:r>
          </w:p>
        </w:tc>
      </w:tr>
    </w:tbl>
    <w:p w:rsidR="001F4AEE" w14:paraId="737FE39C" w14:textId="77777777">
      <w:pPr>
        <w:sectPr>
          <w:headerReference w:type="default" r:id="rId20"/>
          <w:footerReference w:type="default" r:id="rId21"/>
          <w:pgSz w:w="11900" w:h="16840"/>
          <w:pgMar w:top="2154" w:right="1134" w:bottom="1134" w:left="1134" w:header="400" w:footer="400" w:gutter="0"/>
          <w:cols w:space="720"/>
        </w:sectPr>
      </w:pPr>
    </w:p>
    <w:p w:rsidR="001F4AEE" w14:paraId="0C4BC84B" w14:textId="77777777">
      <w:pPr>
        <w:spacing w:line="30" w:lineRule="exact"/>
        <w:rPr>
          <w:sz w:val="3"/>
        </w:rPr>
      </w:pPr>
    </w:p>
    <w:p w:rsidR="001F4AEE" w14:paraId="524F9905" w14:textId="77777777">
      <w:pPr>
        <w:pStyle w:val="TechnicalBookmark"/>
        <w:rPr>
          <w:lang w:val="fr-FR"/>
        </w:rPr>
      </w:pPr>
      <w:r>
        <w:rPr>
          <w:lang w:val="fr-FR"/>
        </w:rPr>
        <w:fldChar w:fldCharType="begin"/>
      </w:r>
      <w:r>
        <w:rPr>
          <w:lang w:val="fr-FR"/>
        </w:rPr>
        <w:instrText xml:space="preserve"> SET 00ECCEC4EFF6170B36C9E0EC06B460F9 "" </w:instrText>
      </w:r>
      <w:r>
        <w:rPr>
          <w:lang w:val="fr-FR"/>
        </w:rPr>
        <w:fldChar w:fldCharType="separate"/>
      </w:r>
      <w:bookmarkStart w:id="76" w:name="00ECCEC4EFF6170B36C9E0EC06B460F9"/>
      <w:bookmarkEnd w:id="76"/>
      <w:r>
        <w:rPr>
          <w:lang w:val="fr-FR"/>
        </w:rPr>
        <w:fldChar w:fldCharType="end"/>
      </w:r>
    </w:p>
    <w:p w:rsidR="001F4AEE" w14:paraId="52AE425C" w14:textId="77777777">
      <w:pPr>
        <w:pStyle w:val="H2"/>
        <w:rPr>
          <w:lang w:val="fr-FR"/>
        </w:rPr>
      </w:pPr>
      <w:r>
        <w:rPr>
          <w:lang w:val="fr-FR"/>
        </w:rPr>
        <w:t xml:space="preserve">Inventaire des éléments de bilan </w:t>
      </w:r>
    </w:p>
    <w:p w:rsidR="001F4AEE" w14:paraId="0234B2B2" w14:textId="77777777">
      <w:pPr>
        <w:pStyle w:val="NoRefToc"/>
        <w:rPr>
          <w:lang w:val="fr-FR"/>
        </w:rPr>
      </w:pPr>
    </w:p>
    <w:p w:rsidR="001F4AEE" w14:paraId="3AB80006" w14:textId="77777777">
      <w:pPr>
        <w:pStyle w:val="TechnicalBookmark"/>
        <w:rPr>
          <w:lang w:val="fr-FR"/>
        </w:rPr>
      </w:pPr>
      <w:r>
        <w:rPr>
          <w:lang w:val="fr-FR"/>
        </w:rPr>
        <w:fldChar w:fldCharType="begin"/>
      </w:r>
      <w:r>
        <w:rPr>
          <w:lang w:val="fr-FR"/>
        </w:rPr>
        <w:instrText xml:space="preserve"> SET D0A719BF4F2011F2D31E1DFE0FDFE50E "" </w:instrText>
      </w:r>
      <w:r>
        <w:rPr>
          <w:lang w:val="fr-FR"/>
        </w:rPr>
        <w:fldChar w:fldCharType="separate"/>
      </w:r>
      <w:bookmarkStart w:id="77" w:name="D0A719BF4F2011F2D31E1DFE0FDFE50E"/>
      <w:bookmarkEnd w:id="77"/>
      <w:r>
        <w:rPr>
          <w:lang w:val="fr-FR"/>
        </w:rPr>
        <w:fldChar w:fldCharType="end"/>
      </w:r>
    </w:p>
    <w:p w:rsidR="001F4AEE" w14:paraId="3FE5CA36"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49703377"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6D8B56E7"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1591BB3B"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12C87BB6" w14:textId="77777777">
            <w:pPr>
              <w:pStyle w:val="EnteteTabMiddleColBordure"/>
              <w:spacing w:line="184" w:lineRule="exact"/>
              <w:rPr>
                <w:lang w:val="fr-FR"/>
              </w:rPr>
            </w:pPr>
            <w:r>
              <w:rPr>
                <w:lang w:val="fr-FR"/>
              </w:rPr>
              <w:t>Quantité ou</w:t>
            </w:r>
          </w:p>
          <w:p w:rsidR="001F4AEE" w14:paraId="303EAE37"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6FAE3730"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09882A05" w14:textId="77777777">
            <w:pPr>
              <w:pStyle w:val="EnteteTabLastColBordure"/>
              <w:spacing w:line="184" w:lineRule="exact"/>
              <w:rPr>
                <w:lang w:val="fr-FR"/>
              </w:rPr>
            </w:pPr>
            <w:r>
              <w:rPr>
                <w:lang w:val="fr-FR"/>
              </w:rPr>
              <w:t>% Actif</w:t>
            </w:r>
          </w:p>
          <w:p w:rsidR="001F4AEE" w14:paraId="47C0C5C7" w14:textId="77777777">
            <w:pPr>
              <w:pStyle w:val="EnteteTabLastColBordure"/>
              <w:spacing w:line="184" w:lineRule="exact"/>
              <w:rPr>
                <w:lang w:val="fr-FR"/>
              </w:rPr>
            </w:pPr>
            <w:r>
              <w:rPr>
                <w:lang w:val="fr-FR"/>
              </w:rPr>
              <w:t>Net</w:t>
            </w:r>
          </w:p>
        </w:tc>
      </w:tr>
      <w:tr w14:paraId="5EA9CCA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07343B4" w14:textId="77777777">
            <w:pPr>
              <w:pStyle w:val="Tab3FirstColNonGras"/>
              <w:rPr>
                <w:lang w:val="fr-FR"/>
              </w:rPr>
            </w:pPr>
            <w:r>
              <w:rPr>
                <w:lang w:val="fr-FR"/>
              </w:rPr>
              <w:t>METLIFE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0F94AA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6B2931B" w14:textId="77777777">
            <w:pPr>
              <w:pStyle w:val="Tab3MiddleColNonGras"/>
              <w:rPr>
                <w:lang w:val="fr-FR"/>
              </w:rPr>
            </w:pPr>
            <w:r>
              <w:rPr>
                <w:lang w:val="fr-FR"/>
              </w:rPr>
              <w:t>2 929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BC25EDB" w14:textId="77777777">
            <w:pPr>
              <w:pStyle w:val="Tab3MiddleColNonGras"/>
              <w:rPr>
                <w:lang w:val="fr-FR"/>
              </w:rPr>
            </w:pPr>
            <w:r>
              <w:rPr>
                <w:lang w:val="fr-FR"/>
              </w:rPr>
              <w:t>235 550,18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ABDCE8C" w14:textId="77777777">
            <w:pPr>
              <w:pStyle w:val="Tab3LastColNonGras"/>
              <w:rPr>
                <w:lang w:val="fr-FR"/>
              </w:rPr>
            </w:pPr>
            <w:r>
              <w:rPr>
                <w:lang w:val="fr-FR"/>
              </w:rPr>
              <w:t>0,07</w:t>
            </w:r>
          </w:p>
        </w:tc>
      </w:tr>
      <w:tr w14:paraId="63CD29B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331C8C1E" w14:textId="77777777">
            <w:pPr>
              <w:pStyle w:val="Tab3FirstColNonGras"/>
              <w:rPr>
                <w:lang w:val="en-US"/>
              </w:rPr>
            </w:pPr>
            <w:r w:rsidRPr="00D61EB0">
              <w:rPr>
                <w:lang w:val="en-US"/>
              </w:rPr>
              <w:t>MS&amp;AD INSURANCE GROUP HOLDIN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9381AE3"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86C54F4" w14:textId="77777777">
            <w:pPr>
              <w:pStyle w:val="Tab3MiddleColNonGras"/>
              <w:rPr>
                <w:lang w:val="fr-FR"/>
              </w:rPr>
            </w:pPr>
            <w:r>
              <w:rPr>
                <w:lang w:val="fr-FR"/>
              </w:rPr>
              <w:t>6 500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F03C9FD" w14:textId="77777777">
            <w:pPr>
              <w:pStyle w:val="Tab3MiddleColNonGras"/>
              <w:rPr>
                <w:lang w:val="fr-FR"/>
              </w:rPr>
            </w:pPr>
            <w:r>
              <w:rPr>
                <w:lang w:val="fr-FR"/>
              </w:rPr>
              <w:t>145 349,45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F68D557" w14:textId="77777777">
            <w:pPr>
              <w:pStyle w:val="Tab3LastColNonGras"/>
              <w:rPr>
                <w:lang w:val="fr-FR"/>
              </w:rPr>
            </w:pPr>
            <w:r>
              <w:rPr>
                <w:lang w:val="fr-FR"/>
              </w:rPr>
              <w:t>0,04</w:t>
            </w:r>
          </w:p>
        </w:tc>
      </w:tr>
      <w:tr w14:paraId="75C5603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0C56941" w14:textId="77777777">
            <w:pPr>
              <w:pStyle w:val="Tab3FirstColNonGras"/>
              <w:rPr>
                <w:lang w:val="fr-FR"/>
              </w:rPr>
            </w:pPr>
            <w:r>
              <w:rPr>
                <w:lang w:val="fr-FR"/>
              </w:rPr>
              <w:t>POWER CORP OF CANADA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063C96A"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F32C970" w14:textId="77777777">
            <w:pPr>
              <w:pStyle w:val="Tab3MiddleColNonGras"/>
              <w:rPr>
                <w:lang w:val="fr-FR"/>
              </w:rPr>
            </w:pPr>
            <w:r>
              <w:rPr>
                <w:lang w:val="fr-FR"/>
              </w:rPr>
              <w:t>2 803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A66B709" w14:textId="77777777">
            <w:pPr>
              <w:pStyle w:val="Tab3MiddleColNonGras"/>
              <w:rPr>
                <w:lang w:val="fr-FR"/>
              </w:rPr>
            </w:pPr>
            <w:r>
              <w:rPr>
                <w:lang w:val="fr-FR"/>
              </w:rPr>
              <w:t>109 262,46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188BCF3" w14:textId="77777777">
            <w:pPr>
              <w:pStyle w:val="Tab3LastColNonGras"/>
              <w:rPr>
                <w:lang w:val="fr-FR"/>
              </w:rPr>
            </w:pPr>
            <w:r>
              <w:rPr>
                <w:lang w:val="fr-FR"/>
              </w:rPr>
              <w:t>0,03</w:t>
            </w:r>
          </w:p>
        </w:tc>
      </w:tr>
      <w:tr w14:paraId="43661E8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009D336" w14:textId="77777777">
            <w:pPr>
              <w:pStyle w:val="Tab3FirstColNonGras"/>
              <w:rPr>
                <w:lang w:val="fr-FR"/>
              </w:rPr>
            </w:pPr>
            <w:r>
              <w:rPr>
                <w:lang w:val="fr-FR"/>
              </w:rPr>
              <w:t>PRINCIPAL FINANCIAL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3F895E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29BD692" w14:textId="77777777">
            <w:pPr>
              <w:pStyle w:val="Tab3MiddleColNonGras"/>
              <w:rPr>
                <w:lang w:val="fr-FR"/>
              </w:rPr>
            </w:pPr>
            <w:r>
              <w:rPr>
                <w:lang w:val="fr-FR"/>
              </w:rPr>
              <w:t>1 144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F839174" w14:textId="77777777">
            <w:pPr>
              <w:pStyle w:val="Tab3MiddleColNonGras"/>
              <w:rPr>
                <w:lang w:val="fr-FR"/>
              </w:rPr>
            </w:pPr>
            <w:r>
              <w:rPr>
                <w:lang w:val="fr-FR"/>
              </w:rPr>
              <w:t>90 867,92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56FF711" w14:textId="77777777">
            <w:pPr>
              <w:pStyle w:val="Tab3LastColNonGras"/>
              <w:rPr>
                <w:lang w:val="fr-FR"/>
              </w:rPr>
            </w:pPr>
            <w:r>
              <w:rPr>
                <w:lang w:val="fr-FR"/>
              </w:rPr>
              <w:t>0,03</w:t>
            </w:r>
          </w:p>
        </w:tc>
      </w:tr>
      <w:tr w14:paraId="3506BC8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FAE8C65" w14:textId="77777777">
            <w:pPr>
              <w:pStyle w:val="Tab3FirstColNonGras"/>
              <w:rPr>
                <w:lang w:val="fr-FR"/>
              </w:rPr>
            </w:pPr>
            <w:r>
              <w:rPr>
                <w:lang w:val="fr-FR"/>
              </w:rPr>
              <w:t>PROGRESSIVE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64CC6A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A6CA9FC" w14:textId="77777777">
            <w:pPr>
              <w:pStyle w:val="Tab3MiddleColNonGras"/>
              <w:rPr>
                <w:lang w:val="fr-FR"/>
              </w:rPr>
            </w:pPr>
            <w:r>
              <w:rPr>
                <w:lang w:val="fr-FR"/>
              </w:rPr>
              <w:t>3 031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5C21BC9" w14:textId="77777777">
            <w:pPr>
              <w:pStyle w:val="Tab3MiddleColNonGras"/>
              <w:rPr>
                <w:lang w:val="fr-FR"/>
              </w:rPr>
            </w:pPr>
            <w:r>
              <w:rPr>
                <w:lang w:val="fr-FR"/>
              </w:rPr>
              <w:t>808 852,66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2B0D5CB" w14:textId="77777777">
            <w:pPr>
              <w:pStyle w:val="Tab3LastColNonGras"/>
              <w:rPr>
                <w:lang w:val="fr-FR"/>
              </w:rPr>
            </w:pPr>
            <w:r>
              <w:rPr>
                <w:lang w:val="fr-FR"/>
              </w:rPr>
              <w:t>0,23</w:t>
            </w:r>
          </w:p>
        </w:tc>
      </w:tr>
      <w:tr w14:paraId="33811A2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E7BD445" w14:textId="77777777">
            <w:pPr>
              <w:pStyle w:val="Tab3FirstColNonGras"/>
              <w:rPr>
                <w:lang w:val="fr-FR"/>
              </w:rPr>
            </w:pPr>
            <w:r>
              <w:rPr>
                <w:lang w:val="fr-FR"/>
              </w:rPr>
              <w:t>PRUDENTIAL FINANCIAL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F8B489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D6D77F1" w14:textId="77777777">
            <w:pPr>
              <w:pStyle w:val="Tab3MiddleColNonGras"/>
              <w:rPr>
                <w:lang w:val="fr-FR"/>
              </w:rPr>
            </w:pPr>
            <w:r>
              <w:rPr>
                <w:lang w:val="fr-FR"/>
              </w:rPr>
              <w:t>1 746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B9F2846" w14:textId="77777777">
            <w:pPr>
              <w:pStyle w:val="Tab3MiddleColNonGras"/>
              <w:rPr>
                <w:lang w:val="fr-FR"/>
              </w:rPr>
            </w:pPr>
            <w:r>
              <w:rPr>
                <w:lang w:val="fr-FR"/>
              </w:rPr>
              <w:t>187 590,24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3D8E977" w14:textId="77777777">
            <w:pPr>
              <w:pStyle w:val="Tab3LastColNonGras"/>
              <w:rPr>
                <w:lang w:val="fr-FR"/>
              </w:rPr>
            </w:pPr>
            <w:r>
              <w:rPr>
                <w:lang w:val="fr-FR"/>
              </w:rPr>
              <w:t>0,05</w:t>
            </w:r>
          </w:p>
        </w:tc>
      </w:tr>
      <w:tr w14:paraId="2774A6A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AD50C2D" w14:textId="77777777">
            <w:pPr>
              <w:pStyle w:val="Tab3FirstColNonGras"/>
              <w:rPr>
                <w:lang w:val="fr-FR"/>
              </w:rPr>
            </w:pPr>
            <w:r>
              <w:rPr>
                <w:lang w:val="fr-FR"/>
              </w:rPr>
              <w:t>PRUDENTIAL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A411B86"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EC9C337" w14:textId="77777777">
            <w:pPr>
              <w:pStyle w:val="Tab3MiddleColNonGras"/>
              <w:rPr>
                <w:lang w:val="fr-FR"/>
              </w:rPr>
            </w:pPr>
            <w:r>
              <w:rPr>
                <w:lang w:val="fr-FR"/>
              </w:rPr>
              <w:t>11 675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D52DF28" w14:textId="77777777">
            <w:pPr>
              <w:pStyle w:val="Tab3MiddleColNonGras"/>
              <w:rPr>
                <w:lang w:val="fr-FR"/>
              </w:rPr>
            </w:pPr>
            <w:r>
              <w:rPr>
                <w:lang w:val="fr-FR"/>
              </w:rPr>
              <w:t>146 006,40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F47FAFE" w14:textId="77777777">
            <w:pPr>
              <w:pStyle w:val="Tab3LastColNonGras"/>
              <w:rPr>
                <w:lang w:val="fr-FR"/>
              </w:rPr>
            </w:pPr>
            <w:r>
              <w:rPr>
                <w:lang w:val="fr-FR"/>
              </w:rPr>
              <w:t>0,04</w:t>
            </w:r>
          </w:p>
        </w:tc>
      </w:tr>
      <w:tr w14:paraId="34F34AE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12B5B32" w14:textId="77777777">
            <w:pPr>
              <w:pStyle w:val="Tab3FirstColNonGras"/>
              <w:rPr>
                <w:lang w:val="fr-FR"/>
              </w:rPr>
            </w:pPr>
            <w:r>
              <w:rPr>
                <w:lang w:val="fr-FR"/>
              </w:rPr>
              <w:t>QBE INSURANCE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7565BEA"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710F62E" w14:textId="77777777">
            <w:pPr>
              <w:pStyle w:val="Tab3MiddleColNonGras"/>
              <w:rPr>
                <w:lang w:val="fr-FR"/>
              </w:rPr>
            </w:pPr>
            <w:r>
              <w:rPr>
                <w:lang w:val="fr-FR"/>
              </w:rPr>
              <w:t>7 610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0C0F1D8" w14:textId="77777777">
            <w:pPr>
              <w:pStyle w:val="Tab3MiddleColNonGras"/>
              <w:rPr>
                <w:lang w:val="fr-FR"/>
              </w:rPr>
            </w:pPr>
            <w:r>
              <w:rPr>
                <w:lang w:val="fr-FR"/>
              </w:rPr>
              <w:t>116 652,90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50AA89B" w14:textId="77777777">
            <w:pPr>
              <w:pStyle w:val="Tab3LastColNonGras"/>
              <w:rPr>
                <w:lang w:val="fr-FR"/>
              </w:rPr>
            </w:pPr>
            <w:r>
              <w:rPr>
                <w:lang w:val="fr-FR"/>
              </w:rPr>
              <w:t>0,03</w:t>
            </w:r>
          </w:p>
        </w:tc>
      </w:tr>
      <w:tr w14:paraId="060755B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48D5ED9" w14:textId="77777777">
            <w:pPr>
              <w:pStyle w:val="Tab3FirstColNonGras"/>
              <w:rPr>
                <w:lang w:val="fr-FR"/>
              </w:rPr>
            </w:pPr>
            <w:r>
              <w:rPr>
                <w:lang w:val="fr-FR"/>
              </w:rPr>
              <w:t>SAMPO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E7CB05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08660E9" w14:textId="77777777">
            <w:pPr>
              <w:pStyle w:val="Tab3MiddleColNonGras"/>
              <w:rPr>
                <w:lang w:val="fr-FR"/>
              </w:rPr>
            </w:pPr>
            <w:r>
              <w:rPr>
                <w:lang w:val="fr-FR"/>
              </w:rPr>
              <w:t>13 981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E4099FD" w14:textId="77777777">
            <w:pPr>
              <w:pStyle w:val="Tab3MiddleColNonGras"/>
              <w:rPr>
                <w:lang w:val="fr-FR"/>
              </w:rPr>
            </w:pPr>
            <w:r>
              <w:rPr>
                <w:lang w:val="fr-FR"/>
              </w:rPr>
              <w:t>149 837,88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F608CD4" w14:textId="77777777">
            <w:pPr>
              <w:pStyle w:val="Tab3LastColNonGras"/>
              <w:rPr>
                <w:lang w:val="fr-FR"/>
              </w:rPr>
            </w:pPr>
            <w:r>
              <w:rPr>
                <w:lang w:val="fr-FR"/>
              </w:rPr>
              <w:t>0,04</w:t>
            </w:r>
          </w:p>
        </w:tc>
      </w:tr>
      <w:tr w14:paraId="35F58AE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26F3560" w14:textId="77777777">
            <w:pPr>
              <w:pStyle w:val="Tab3FirstColNonGras"/>
              <w:rPr>
                <w:lang w:val="fr-FR"/>
              </w:rPr>
            </w:pPr>
            <w:r>
              <w:rPr>
                <w:lang w:val="fr-FR"/>
              </w:rPr>
              <w:t>SOMPO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F5F880D"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EF3554E" w14:textId="77777777">
            <w:pPr>
              <w:pStyle w:val="Tab3MiddleColNonGras"/>
              <w:rPr>
                <w:lang w:val="fr-FR"/>
              </w:rPr>
            </w:pPr>
            <w:r>
              <w:rPr>
                <w:lang w:val="fr-FR"/>
              </w:rPr>
              <w:t>5 200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81C7179" w14:textId="77777777">
            <w:pPr>
              <w:pStyle w:val="Tab3MiddleColNonGras"/>
              <w:rPr>
                <w:lang w:val="fr-FR"/>
              </w:rPr>
            </w:pPr>
            <w:r>
              <w:rPr>
                <w:lang w:val="fr-FR"/>
              </w:rPr>
              <w:t>156 419,41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639E43B" w14:textId="77777777">
            <w:pPr>
              <w:pStyle w:val="Tab3LastColNonGras"/>
              <w:rPr>
                <w:lang w:val="fr-FR"/>
              </w:rPr>
            </w:pPr>
            <w:r>
              <w:rPr>
                <w:lang w:val="fr-FR"/>
              </w:rPr>
              <w:t>0,04</w:t>
            </w:r>
          </w:p>
        </w:tc>
      </w:tr>
      <w:tr w14:paraId="018837A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7DE3667" w14:textId="77777777">
            <w:pPr>
              <w:pStyle w:val="Tab3FirstColNonGras"/>
              <w:rPr>
                <w:lang w:val="fr-FR"/>
              </w:rPr>
            </w:pPr>
            <w:r>
              <w:rPr>
                <w:lang w:val="fr-FR"/>
              </w:rPr>
              <w:t>SUNCORP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2D9E4A3"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C25052D" w14:textId="77777777">
            <w:pPr>
              <w:pStyle w:val="Tab3MiddleColNonGras"/>
              <w:rPr>
                <w:lang w:val="fr-FR"/>
              </w:rPr>
            </w:pPr>
            <w:r>
              <w:rPr>
                <w:lang w:val="fr-FR"/>
              </w:rPr>
              <w:t>7 222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3445F85" w14:textId="77777777">
            <w:pPr>
              <w:pStyle w:val="Tab3MiddleColNonGras"/>
              <w:rPr>
                <w:lang w:val="fr-FR"/>
              </w:rPr>
            </w:pPr>
            <w:r>
              <w:rPr>
                <w:lang w:val="fr-FR"/>
              </w:rPr>
              <w:t>102 280,51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11158CB" w14:textId="77777777">
            <w:pPr>
              <w:pStyle w:val="Tab3LastColNonGras"/>
              <w:rPr>
                <w:lang w:val="fr-FR"/>
              </w:rPr>
            </w:pPr>
            <w:r>
              <w:rPr>
                <w:lang w:val="fr-FR"/>
              </w:rPr>
              <w:t>0,03</w:t>
            </w:r>
          </w:p>
        </w:tc>
      </w:tr>
      <w:tr w14:paraId="64DA627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1CC5F61" w14:textId="77777777">
            <w:pPr>
              <w:pStyle w:val="Tab3FirstColNonGras"/>
              <w:rPr>
                <w:lang w:val="fr-FR"/>
              </w:rPr>
            </w:pPr>
            <w:r>
              <w:rPr>
                <w:lang w:val="fr-FR"/>
              </w:rPr>
              <w:t>SUN LIFE FINANCIAL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873F848"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408EAFA" w14:textId="77777777">
            <w:pPr>
              <w:pStyle w:val="Tab3MiddleColNonGras"/>
              <w:rPr>
                <w:lang w:val="fr-FR"/>
              </w:rPr>
            </w:pPr>
            <w:r>
              <w:rPr>
                <w:lang w:val="fr-FR"/>
              </w:rPr>
              <w:t>2 690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52B465F" w14:textId="77777777">
            <w:pPr>
              <w:pStyle w:val="Tab3MiddleColNonGras"/>
              <w:rPr>
                <w:lang w:val="fr-FR"/>
              </w:rPr>
            </w:pPr>
            <w:r>
              <w:rPr>
                <w:lang w:val="fr-FR"/>
              </w:rPr>
              <w:t>178 626,66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8378446" w14:textId="77777777">
            <w:pPr>
              <w:pStyle w:val="Tab3LastColNonGras"/>
              <w:rPr>
                <w:lang w:val="fr-FR"/>
              </w:rPr>
            </w:pPr>
            <w:r>
              <w:rPr>
                <w:lang w:val="fr-FR"/>
              </w:rPr>
              <w:t>0,05</w:t>
            </w:r>
          </w:p>
        </w:tc>
      </w:tr>
      <w:tr w14:paraId="044621D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29017FA6" w14:textId="77777777">
            <w:pPr>
              <w:pStyle w:val="Tab3FirstColNonGras"/>
              <w:rPr>
                <w:lang w:val="en-US"/>
              </w:rPr>
            </w:pPr>
            <w:r w:rsidRPr="00D61EB0">
              <w:rPr>
                <w:lang w:val="en-US"/>
              </w:rPr>
              <w:t>SWISS LIFE HOLDING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98AD128"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D86BACF" w14:textId="77777777">
            <w:pPr>
              <w:pStyle w:val="Tab3MiddleColNonGras"/>
              <w:rPr>
                <w:lang w:val="fr-FR"/>
              </w:rPr>
            </w:pPr>
            <w:r>
              <w:rPr>
                <w:lang w:val="fr-FR"/>
              </w:rPr>
              <w:t>127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4B9516B" w14:textId="77777777">
            <w:pPr>
              <w:pStyle w:val="Tab3MiddleColNonGras"/>
              <w:rPr>
                <w:lang w:val="fr-FR"/>
              </w:rPr>
            </w:pPr>
            <w:r>
              <w:rPr>
                <w:lang w:val="fr-FR"/>
              </w:rPr>
              <w:t>128 057,76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47554E1" w14:textId="77777777">
            <w:pPr>
              <w:pStyle w:val="Tab3LastColNonGras"/>
              <w:rPr>
                <w:lang w:val="fr-FR"/>
              </w:rPr>
            </w:pPr>
            <w:r>
              <w:rPr>
                <w:lang w:val="fr-FR"/>
              </w:rPr>
              <w:t>0,04</w:t>
            </w:r>
          </w:p>
        </w:tc>
      </w:tr>
      <w:tr w14:paraId="0762941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18E0B3B" w14:textId="77777777">
            <w:pPr>
              <w:pStyle w:val="Tab3FirstColNonGras"/>
              <w:rPr>
                <w:lang w:val="fr-FR"/>
              </w:rPr>
            </w:pPr>
            <w:r>
              <w:rPr>
                <w:lang w:val="fr-FR"/>
              </w:rPr>
              <w:t>SWISS RE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1519826"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246A8C0" w14:textId="77777777">
            <w:pPr>
              <w:pStyle w:val="Tab3MiddleColNonGras"/>
              <w:rPr>
                <w:lang w:val="fr-FR"/>
              </w:rPr>
            </w:pPr>
            <w:r>
              <w:rPr>
                <w:lang w:val="fr-FR"/>
              </w:rPr>
              <w:t>1 397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BC4710A" w14:textId="77777777">
            <w:pPr>
              <w:pStyle w:val="Tab3MiddleColNonGras"/>
              <w:rPr>
                <w:lang w:val="fr-FR"/>
              </w:rPr>
            </w:pPr>
            <w:r>
              <w:rPr>
                <w:lang w:val="fr-FR"/>
              </w:rPr>
              <w:t>240 710,61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A317BAD" w14:textId="77777777">
            <w:pPr>
              <w:pStyle w:val="Tab3LastColNonGras"/>
              <w:rPr>
                <w:lang w:val="fr-FR"/>
              </w:rPr>
            </w:pPr>
            <w:r>
              <w:rPr>
                <w:lang w:val="fr-FR"/>
              </w:rPr>
              <w:t>0,07</w:t>
            </w:r>
          </w:p>
        </w:tc>
      </w:tr>
      <w:tr w14:paraId="6CFAFF3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BD8BE1A" w14:textId="77777777">
            <w:pPr>
              <w:pStyle w:val="Tab3FirstColNonGras"/>
              <w:rPr>
                <w:lang w:val="fr-FR"/>
              </w:rPr>
            </w:pPr>
            <w:r>
              <w:rPr>
                <w:lang w:val="fr-FR"/>
              </w:rPr>
              <w:t>T&amp;D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501D3AB"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2223A6F" w14:textId="77777777">
            <w:pPr>
              <w:pStyle w:val="Tab3MiddleColNonGras"/>
              <w:rPr>
                <w:lang w:val="fr-FR"/>
              </w:rPr>
            </w:pPr>
            <w:r>
              <w:rPr>
                <w:lang w:val="fr-FR"/>
              </w:rPr>
              <w:t>2 400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628A324" w14:textId="77777777">
            <w:pPr>
              <w:pStyle w:val="Tab3MiddleColNonGras"/>
              <w:rPr>
                <w:lang w:val="fr-FR"/>
              </w:rPr>
            </w:pPr>
            <w:r>
              <w:rPr>
                <w:lang w:val="fr-FR"/>
              </w:rPr>
              <w:t>52 670,57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0078EB7" w14:textId="77777777">
            <w:pPr>
              <w:pStyle w:val="Tab3LastColNonGras"/>
              <w:rPr>
                <w:lang w:val="fr-FR"/>
              </w:rPr>
            </w:pPr>
            <w:r>
              <w:rPr>
                <w:lang w:val="fr-FR"/>
              </w:rPr>
              <w:t>0,02</w:t>
            </w:r>
          </w:p>
        </w:tc>
      </w:tr>
      <w:tr w14:paraId="50085EC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41E8B44" w14:textId="77777777">
            <w:pPr>
              <w:pStyle w:val="Tab3FirstColNonGras"/>
              <w:rPr>
                <w:lang w:val="fr-FR"/>
              </w:rPr>
            </w:pPr>
            <w:r>
              <w:rPr>
                <w:lang w:val="fr-FR"/>
              </w:rPr>
              <w:t>TALANX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2D1B44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1FCE187" w14:textId="77777777">
            <w:pPr>
              <w:pStyle w:val="Tab3MiddleColNonGras"/>
              <w:rPr>
                <w:lang w:val="fr-FR"/>
              </w:rPr>
            </w:pPr>
            <w:r>
              <w:rPr>
                <w:lang w:val="fr-FR"/>
              </w:rPr>
              <w:t>316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D64CF8F" w14:textId="77777777">
            <w:pPr>
              <w:pStyle w:val="Tab3MiddleColNonGras"/>
              <w:rPr>
                <w:lang w:val="fr-FR"/>
              </w:rPr>
            </w:pPr>
            <w:r>
              <w:rPr>
                <w:lang w:val="fr-FR"/>
              </w:rPr>
              <w:t>40 765,93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F7B80C8" w14:textId="77777777">
            <w:pPr>
              <w:pStyle w:val="Tab3LastColNonGras"/>
              <w:rPr>
                <w:lang w:val="fr-FR"/>
              </w:rPr>
            </w:pPr>
            <w:r>
              <w:rPr>
                <w:lang w:val="fr-FR"/>
              </w:rPr>
              <w:t>0,01</w:t>
            </w:r>
          </w:p>
        </w:tc>
      </w:tr>
      <w:tr w14:paraId="1A85F9F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C290E99" w14:textId="77777777">
            <w:pPr>
              <w:pStyle w:val="Tab3FirstColNonGras"/>
              <w:rPr>
                <w:lang w:val="fr-FR"/>
              </w:rPr>
            </w:pPr>
            <w:r>
              <w:rPr>
                <w:lang w:val="fr-FR"/>
              </w:rPr>
              <w:t>TOKIO MARINE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E21EBA7"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65A7168" w14:textId="77777777">
            <w:pPr>
              <w:pStyle w:val="Tab3MiddleColNonGras"/>
              <w:rPr>
                <w:lang w:val="fr-FR"/>
              </w:rPr>
            </w:pPr>
            <w:r>
              <w:rPr>
                <w:lang w:val="fr-FR"/>
              </w:rPr>
              <w:t>9 700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6BD99D9" w14:textId="77777777">
            <w:pPr>
              <w:pStyle w:val="Tab3MiddleColNonGras"/>
              <w:rPr>
                <w:lang w:val="fr-FR"/>
              </w:rPr>
            </w:pPr>
            <w:r>
              <w:rPr>
                <w:lang w:val="fr-FR"/>
              </w:rPr>
              <w:t>410 375,61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2C3BF13" w14:textId="77777777">
            <w:pPr>
              <w:pStyle w:val="Tab3LastColNonGras"/>
              <w:rPr>
                <w:lang w:val="fr-FR"/>
              </w:rPr>
            </w:pPr>
            <w:r>
              <w:rPr>
                <w:lang w:val="fr-FR"/>
              </w:rPr>
              <w:t>0,12</w:t>
            </w:r>
          </w:p>
        </w:tc>
      </w:tr>
      <w:tr w14:paraId="09390E8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0D27BAD" w14:textId="77777777">
            <w:pPr>
              <w:pStyle w:val="Tab3FirstColNonGras"/>
              <w:rPr>
                <w:lang w:val="fr-FR"/>
              </w:rPr>
            </w:pPr>
            <w:r>
              <w:rPr>
                <w:lang w:val="fr-FR"/>
              </w:rPr>
              <w:t>TRAVELERS COMPANIES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5DF6F9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7C9DD16" w14:textId="77777777">
            <w:pPr>
              <w:pStyle w:val="Tab3MiddleColNonGras"/>
              <w:rPr>
                <w:lang w:val="fr-FR"/>
              </w:rPr>
            </w:pPr>
            <w:r>
              <w:rPr>
                <w:lang w:val="fr-FR"/>
              </w:rPr>
              <w:t>1 222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63362EC" w14:textId="77777777">
            <w:pPr>
              <w:pStyle w:val="Tab3MiddleColNonGras"/>
              <w:rPr>
                <w:lang w:val="fr-FR"/>
              </w:rPr>
            </w:pPr>
            <w:r>
              <w:rPr>
                <w:lang w:val="fr-FR"/>
              </w:rPr>
              <w:t>326 933,88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C66A79C" w14:textId="77777777">
            <w:pPr>
              <w:pStyle w:val="Tab3LastColNonGras"/>
              <w:rPr>
                <w:lang w:val="fr-FR"/>
              </w:rPr>
            </w:pPr>
            <w:r>
              <w:rPr>
                <w:lang w:val="fr-FR"/>
              </w:rPr>
              <w:t>0,09</w:t>
            </w:r>
          </w:p>
        </w:tc>
      </w:tr>
      <w:tr w14:paraId="045FD90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CEDFDAB" w14:textId="77777777">
            <w:pPr>
              <w:pStyle w:val="Tab3FirstColNonGras"/>
              <w:rPr>
                <w:lang w:val="fr-FR"/>
              </w:rPr>
            </w:pPr>
            <w:r>
              <w:rPr>
                <w:lang w:val="fr-FR"/>
              </w:rPr>
              <w:t>TRYG A/S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12979AB" w14:textId="77777777">
            <w:pPr>
              <w:pStyle w:val="Tab1MiddleColNonGrasCentre"/>
              <w:rPr>
                <w:lang w:val="fr-FR"/>
              </w:rPr>
            </w:pPr>
            <w:r>
              <w:rPr>
                <w:lang w:val="fr-FR"/>
              </w:rPr>
              <w:t>DKK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F2D4201" w14:textId="77777777">
            <w:pPr>
              <w:pStyle w:val="Tab3MiddleColNonGras"/>
              <w:rPr>
                <w:lang w:val="fr-FR"/>
              </w:rPr>
            </w:pPr>
            <w:r>
              <w:rPr>
                <w:lang w:val="fr-FR"/>
              </w:rPr>
              <w:t>1 687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649F2A2" w14:textId="77777777">
            <w:pPr>
              <w:pStyle w:val="Tab3MiddleColNonGras"/>
              <w:rPr>
                <w:lang w:val="fr-FR"/>
              </w:rPr>
            </w:pPr>
            <w:r>
              <w:rPr>
                <w:lang w:val="fr-FR"/>
              </w:rPr>
              <w:t>43 423,58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DEE2721" w14:textId="77777777">
            <w:pPr>
              <w:pStyle w:val="Tab3LastColNonGras"/>
              <w:rPr>
                <w:lang w:val="fr-FR"/>
              </w:rPr>
            </w:pPr>
            <w:r>
              <w:rPr>
                <w:lang w:val="fr-FR"/>
              </w:rPr>
              <w:t>0,01</w:t>
            </w:r>
          </w:p>
        </w:tc>
      </w:tr>
      <w:tr w14:paraId="55325F9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C14E828" w14:textId="77777777">
            <w:pPr>
              <w:pStyle w:val="Tab3FirstColNonGras"/>
              <w:rPr>
                <w:lang w:val="fr-FR"/>
              </w:rPr>
            </w:pPr>
            <w:r>
              <w:rPr>
                <w:lang w:val="fr-FR"/>
              </w:rPr>
              <w:t>UNIPOL GRUPPO SPA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91B3CD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4F9FD1E" w14:textId="77777777">
            <w:pPr>
              <w:pStyle w:val="Tab3MiddleColNonGras"/>
              <w:rPr>
                <w:lang w:val="fr-FR"/>
              </w:rPr>
            </w:pPr>
            <w:r>
              <w:rPr>
                <w:lang w:val="fr-FR"/>
              </w:rPr>
              <w:t>1 891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57028DD" w14:textId="77777777">
            <w:pPr>
              <w:pStyle w:val="Tab3MiddleColNonGras"/>
              <w:rPr>
                <w:lang w:val="fr-FR"/>
              </w:rPr>
            </w:pPr>
            <w:r>
              <w:rPr>
                <w:lang w:val="fr-FR"/>
              </w:rPr>
              <w:t>37 347,31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ADC6C44" w14:textId="77777777">
            <w:pPr>
              <w:pStyle w:val="Tab3LastColNonGras"/>
              <w:rPr>
                <w:lang w:val="fr-FR"/>
              </w:rPr>
            </w:pPr>
            <w:r>
              <w:rPr>
                <w:lang w:val="fr-FR"/>
              </w:rPr>
              <w:t>0,01</w:t>
            </w:r>
          </w:p>
        </w:tc>
      </w:tr>
      <w:tr w14:paraId="56568F6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88928FA" w14:textId="77777777">
            <w:pPr>
              <w:pStyle w:val="Tab3FirstColNonGras"/>
              <w:rPr>
                <w:lang w:val="fr-FR"/>
              </w:rPr>
            </w:pPr>
            <w:r>
              <w:rPr>
                <w:lang w:val="fr-FR"/>
              </w:rPr>
              <w:t>WILLIS TOWERS WATSON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0F5B67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D66D80A" w14:textId="77777777">
            <w:pPr>
              <w:pStyle w:val="Tab3MiddleColNonGras"/>
              <w:rPr>
                <w:lang w:val="fr-FR"/>
              </w:rPr>
            </w:pPr>
            <w:r>
              <w:rPr>
                <w:lang w:val="fr-FR"/>
              </w:rPr>
              <w:t>497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D7AD06D" w14:textId="77777777">
            <w:pPr>
              <w:pStyle w:val="Tab3MiddleColNonGras"/>
              <w:rPr>
                <w:lang w:val="fr-FR"/>
              </w:rPr>
            </w:pPr>
            <w:r>
              <w:rPr>
                <w:lang w:val="fr-FR"/>
              </w:rPr>
              <w:t>152 330,50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B9AA270" w14:textId="77777777">
            <w:pPr>
              <w:pStyle w:val="Tab3LastColNonGras"/>
              <w:rPr>
                <w:lang w:val="fr-FR"/>
              </w:rPr>
            </w:pPr>
            <w:r>
              <w:rPr>
                <w:lang w:val="fr-FR"/>
              </w:rPr>
              <w:t>0,04</w:t>
            </w:r>
          </w:p>
        </w:tc>
      </w:tr>
      <w:tr w14:paraId="4E03088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1C87820" w14:textId="77777777">
            <w:pPr>
              <w:pStyle w:val="Tab3FirstColNonGras"/>
              <w:rPr>
                <w:lang w:val="fr-FR"/>
              </w:rPr>
            </w:pPr>
            <w:r>
              <w:rPr>
                <w:lang w:val="fr-FR"/>
              </w:rPr>
              <w:t>WR BERKLEY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2B53A5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D8B1555" w14:textId="77777777">
            <w:pPr>
              <w:pStyle w:val="Tab3MiddleColNonGras"/>
              <w:rPr>
                <w:lang w:val="fr-FR"/>
              </w:rPr>
            </w:pPr>
            <w:r>
              <w:rPr>
                <w:lang w:val="fr-FR"/>
              </w:rPr>
              <w:t>1 638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BBE4AE6" w14:textId="77777777">
            <w:pPr>
              <w:pStyle w:val="Tab3MiddleColNonGras"/>
              <w:rPr>
                <w:lang w:val="fr-FR"/>
              </w:rPr>
            </w:pPr>
            <w:r>
              <w:rPr>
                <w:lang w:val="fr-FR"/>
              </w:rPr>
              <w:t>120 343,86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E4C3E68" w14:textId="77777777">
            <w:pPr>
              <w:pStyle w:val="Tab3LastColNonGras"/>
              <w:rPr>
                <w:lang w:val="fr-FR"/>
              </w:rPr>
            </w:pPr>
            <w:r>
              <w:rPr>
                <w:lang w:val="fr-FR"/>
              </w:rPr>
              <w:t>0,03</w:t>
            </w:r>
          </w:p>
        </w:tc>
      </w:tr>
      <w:tr w14:paraId="721C9EA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56A05EB" w14:textId="77777777">
            <w:pPr>
              <w:pStyle w:val="Tab3FirstColNonGras"/>
              <w:rPr>
                <w:lang w:val="fr-FR"/>
              </w:rPr>
            </w:pPr>
            <w:r>
              <w:rPr>
                <w:lang w:val="fr-FR"/>
              </w:rPr>
              <w:t>ZURICH INSURANCE GROUP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F71E608"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F929CB2" w14:textId="77777777">
            <w:pPr>
              <w:pStyle w:val="Tab3MiddleColNonGras"/>
              <w:rPr>
                <w:lang w:val="fr-FR"/>
              </w:rPr>
            </w:pPr>
            <w:r>
              <w:rPr>
                <w:lang w:val="fr-FR"/>
              </w:rPr>
              <w:t>711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6921FB1" w14:textId="77777777">
            <w:pPr>
              <w:pStyle w:val="Tab3MiddleColNonGras"/>
              <w:rPr>
                <w:lang w:val="fr-FR"/>
              </w:rPr>
            </w:pPr>
            <w:r>
              <w:rPr>
                <w:lang w:val="fr-FR"/>
              </w:rPr>
              <w:t>495 395,98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ED6D0FF" w14:textId="77777777">
            <w:pPr>
              <w:pStyle w:val="Tab3LastColNonGras"/>
              <w:rPr>
                <w:lang w:val="fr-FR"/>
              </w:rPr>
            </w:pPr>
            <w:r>
              <w:rPr>
                <w:lang w:val="fr-FR"/>
              </w:rPr>
              <w:t>0,14</w:t>
            </w:r>
          </w:p>
        </w:tc>
      </w:tr>
      <w:tr w14:paraId="2DB37F3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4F003D18" w14:textId="77777777">
            <w:pPr>
              <w:pStyle w:val="Tab1FirstColGras"/>
              <w:rPr>
                <w:lang w:val="fr-FR"/>
              </w:rPr>
            </w:pPr>
            <w:r>
              <w:rPr>
                <w:lang w:val="fr-FR"/>
              </w:rPr>
              <w:t>Automobiles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5734B170"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B87E8D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47FD0B3A" w14:textId="77777777">
            <w:pPr>
              <w:pStyle w:val="Tab1MiddleColGras"/>
              <w:rPr>
                <w:lang w:val="fr-FR"/>
              </w:rPr>
            </w:pPr>
            <w:r>
              <w:rPr>
                <w:lang w:val="fr-FR"/>
              </w:rPr>
              <w:t>455 870,48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1A4789A" w14:textId="77777777">
            <w:pPr>
              <w:pStyle w:val="Tab1LastColGras"/>
              <w:rPr>
                <w:lang w:val="fr-FR"/>
              </w:rPr>
            </w:pPr>
            <w:r>
              <w:rPr>
                <w:lang w:val="fr-FR"/>
              </w:rPr>
              <w:t>0,13</w:t>
            </w:r>
          </w:p>
        </w:tc>
      </w:tr>
      <w:tr w14:paraId="5D595B4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A234D12" w14:textId="77777777">
            <w:pPr>
              <w:pStyle w:val="Tab3FirstColNonGras"/>
              <w:rPr>
                <w:lang w:val="fr-FR"/>
              </w:rPr>
            </w:pPr>
            <w:r>
              <w:rPr>
                <w:lang w:val="fr-FR"/>
              </w:rPr>
              <w:t>BAYERISCHE MOTOREN WERKE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750965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9A34EB0" w14:textId="77777777">
            <w:pPr>
              <w:pStyle w:val="Tab3MiddleColNonGras"/>
              <w:rPr>
                <w:lang w:val="fr-FR"/>
              </w:rPr>
            </w:pPr>
            <w:r>
              <w:rPr>
                <w:lang w:val="fr-FR"/>
              </w:rPr>
              <w:t>748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90E5E53" w14:textId="77777777">
            <w:pPr>
              <w:pStyle w:val="Tab3MiddleColNonGras"/>
              <w:rPr>
                <w:lang w:val="fr-FR"/>
              </w:rPr>
            </w:pPr>
            <w:r>
              <w:rPr>
                <w:lang w:val="fr-FR"/>
              </w:rPr>
              <w:t>66 256,88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7456C53" w14:textId="77777777">
            <w:pPr>
              <w:pStyle w:val="Tab3LastColNonGras"/>
              <w:rPr>
                <w:lang w:val="fr-FR"/>
              </w:rPr>
            </w:pPr>
            <w:r>
              <w:rPr>
                <w:lang w:val="fr-FR"/>
              </w:rPr>
              <w:t>0,02</w:t>
            </w:r>
          </w:p>
        </w:tc>
      </w:tr>
      <w:tr w14:paraId="7F31A60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80FBCA9" w14:textId="77777777">
            <w:pPr>
              <w:pStyle w:val="Tab3FirstColNonGras"/>
              <w:rPr>
                <w:lang w:val="fr-FR"/>
              </w:rPr>
            </w:pPr>
            <w:r>
              <w:rPr>
                <w:lang w:val="fr-FR"/>
              </w:rPr>
              <w:t>BAYERISCHE MOTOREN WERKE-PRF</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EC581A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A0AB5FD" w14:textId="77777777">
            <w:pPr>
              <w:pStyle w:val="Tab3MiddleColNonGras"/>
              <w:rPr>
                <w:lang w:val="fr-FR"/>
              </w:rPr>
            </w:pPr>
            <w:r>
              <w:rPr>
                <w:lang w:val="fr-FR"/>
              </w:rPr>
              <w:t>166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7F45CBD" w14:textId="77777777">
            <w:pPr>
              <w:pStyle w:val="Tab3MiddleColNonGras"/>
              <w:rPr>
                <w:lang w:val="fr-FR"/>
              </w:rPr>
            </w:pPr>
            <w:r>
              <w:rPr>
                <w:lang w:val="fr-FR"/>
              </w:rPr>
              <w:t>13 698,59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496907B" w14:textId="77777777">
            <w:pPr>
              <w:pStyle w:val="Tab3LastColNonGras"/>
              <w:rPr>
                <w:lang w:val="fr-FR"/>
              </w:rPr>
            </w:pPr>
            <w:r>
              <w:rPr>
                <w:lang w:val="fr-FR"/>
              </w:rPr>
              <w:t>0,00</w:t>
            </w:r>
          </w:p>
        </w:tc>
      </w:tr>
      <w:tr w14:paraId="010E97E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EBA8713" w14:textId="77777777">
            <w:pPr>
              <w:pStyle w:val="Tab3FirstColNonGras"/>
              <w:rPr>
                <w:lang w:val="fr-FR"/>
              </w:rPr>
            </w:pPr>
            <w:r>
              <w:rPr>
                <w:lang w:val="fr-FR"/>
              </w:rPr>
              <w:t>CARVANA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4DCB08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16E0A74" w14:textId="77777777">
            <w:pPr>
              <w:pStyle w:val="Tab3MiddleColNonGras"/>
              <w:rPr>
                <w:lang w:val="fr-FR"/>
              </w:rPr>
            </w:pPr>
            <w:r>
              <w:rPr>
                <w:lang w:val="fr-FR"/>
              </w:rPr>
              <w:t>1 069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594004C" w14:textId="77777777">
            <w:pPr>
              <w:pStyle w:val="Tab3MiddleColNonGras"/>
              <w:rPr>
                <w:lang w:val="fr-FR"/>
              </w:rPr>
            </w:pPr>
            <w:r>
              <w:rPr>
                <w:lang w:val="fr-FR"/>
              </w:rPr>
              <w:t>360 210,24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9DC3CA0" w14:textId="77777777">
            <w:pPr>
              <w:pStyle w:val="Tab3LastColNonGras"/>
              <w:rPr>
                <w:lang w:val="fr-FR"/>
              </w:rPr>
            </w:pPr>
            <w:r>
              <w:rPr>
                <w:lang w:val="fr-FR"/>
              </w:rPr>
              <w:t>0,11</w:t>
            </w:r>
          </w:p>
        </w:tc>
      </w:tr>
      <w:tr w14:paraId="650ECDB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27E5265F" w14:textId="77777777">
            <w:pPr>
              <w:pStyle w:val="Tab3FirstColNonGras"/>
              <w:rPr>
                <w:lang w:val="de-DE"/>
              </w:rPr>
            </w:pPr>
            <w:r w:rsidRPr="00D61EB0">
              <w:rPr>
                <w:lang w:val="de-DE"/>
              </w:rPr>
              <w:t>DR ING HC F PORSCHE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CFDD49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0D28907" w14:textId="77777777">
            <w:pPr>
              <w:pStyle w:val="Tab3MiddleColNonGras"/>
              <w:rPr>
                <w:lang w:val="fr-FR"/>
              </w:rPr>
            </w:pPr>
            <w:r>
              <w:rPr>
                <w:lang w:val="fr-FR"/>
              </w:rPr>
              <w:t>319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7DFA8A6" w14:textId="77777777">
            <w:pPr>
              <w:pStyle w:val="Tab3MiddleColNonGras"/>
              <w:rPr>
                <w:lang w:val="fr-FR"/>
              </w:rPr>
            </w:pPr>
            <w:r>
              <w:rPr>
                <w:lang w:val="fr-FR"/>
              </w:rPr>
              <w:t>15 704,77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A55B509" w14:textId="77777777">
            <w:pPr>
              <w:pStyle w:val="Tab3LastColNonGras"/>
              <w:rPr>
                <w:lang w:val="fr-FR"/>
              </w:rPr>
            </w:pPr>
            <w:r>
              <w:rPr>
                <w:lang w:val="fr-FR"/>
              </w:rPr>
              <w:t>0,00</w:t>
            </w:r>
          </w:p>
        </w:tc>
      </w:tr>
      <w:tr w14:paraId="29AB4FE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03F7EA10" w14:textId="77777777">
            <w:pPr>
              <w:pStyle w:val="Tab1FirstColGras"/>
              <w:rPr>
                <w:lang w:val="fr-FR"/>
              </w:rPr>
            </w:pPr>
            <w:r>
              <w:rPr>
                <w:lang w:val="fr-FR"/>
              </w:rPr>
              <w:t>Banques commerciales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58DB1AD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68A1785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159220A2" w14:textId="77777777">
            <w:pPr>
              <w:pStyle w:val="Tab1MiddleColGras"/>
              <w:rPr>
                <w:lang w:val="fr-FR"/>
              </w:rPr>
            </w:pPr>
            <w:r>
              <w:rPr>
                <w:lang w:val="fr-FR"/>
              </w:rPr>
              <w:t>18 501 144,94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1FAB2D5" w14:textId="77777777">
            <w:pPr>
              <w:pStyle w:val="Tab1LastColGras"/>
              <w:rPr>
                <w:lang w:val="fr-FR"/>
              </w:rPr>
            </w:pPr>
            <w:r>
              <w:rPr>
                <w:lang w:val="fr-FR"/>
              </w:rPr>
              <w:t>5,32</w:t>
            </w:r>
          </w:p>
        </w:tc>
      </w:tr>
      <w:tr w14:paraId="7827840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2C24FF13" w14:textId="77777777">
            <w:pPr>
              <w:pStyle w:val="Tab3FirstColNonGras"/>
              <w:rPr>
                <w:lang w:val="en-US"/>
              </w:rPr>
            </w:pPr>
            <w:r w:rsidRPr="00D61EB0">
              <w:rPr>
                <w:lang w:val="en-US"/>
              </w:rPr>
              <w:t>AUST AND NZ BANKING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25A518C"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DF732EF" w14:textId="77777777">
            <w:pPr>
              <w:pStyle w:val="Tab3MiddleColNonGras"/>
              <w:rPr>
                <w:lang w:val="fr-FR"/>
              </w:rPr>
            </w:pPr>
            <w:r>
              <w:rPr>
                <w:lang w:val="fr-FR"/>
              </w:rPr>
              <w:t>12 575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F69FB2E" w14:textId="77777777">
            <w:pPr>
              <w:pStyle w:val="Tab3MiddleColNonGras"/>
              <w:rPr>
                <w:lang w:val="fr-FR"/>
              </w:rPr>
            </w:pPr>
            <w:r>
              <w:rPr>
                <w:lang w:val="fr-FR"/>
              </w:rPr>
              <w:t>240 312,39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FD5CD07" w14:textId="77777777">
            <w:pPr>
              <w:pStyle w:val="Tab3LastColNonGras"/>
              <w:rPr>
                <w:lang w:val="fr-FR"/>
              </w:rPr>
            </w:pPr>
            <w:r>
              <w:rPr>
                <w:lang w:val="fr-FR"/>
              </w:rPr>
              <w:t>0,07</w:t>
            </w:r>
          </w:p>
        </w:tc>
      </w:tr>
      <w:tr w14:paraId="08E88F7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F00A509" w14:textId="77777777">
            <w:pPr>
              <w:pStyle w:val="Tab3FirstColNonGras"/>
              <w:rPr>
                <w:lang w:val="fr-FR"/>
              </w:rPr>
            </w:pPr>
            <w:r>
              <w:rPr>
                <w:lang w:val="fr-FR"/>
              </w:rPr>
              <w:t>BANCO BILBAO VIZCAYA ARGENTA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6C80F6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404BB89" w14:textId="77777777">
            <w:pPr>
              <w:pStyle w:val="Tab3MiddleColNonGras"/>
              <w:rPr>
                <w:lang w:val="fr-FR"/>
              </w:rPr>
            </w:pPr>
            <w:r>
              <w:rPr>
                <w:lang w:val="fr-FR"/>
              </w:rPr>
              <w:t>25 971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49B692F" w14:textId="77777777">
            <w:pPr>
              <w:pStyle w:val="Tab3MiddleColNonGras"/>
              <w:rPr>
                <w:lang w:val="fr-FR"/>
              </w:rPr>
            </w:pPr>
            <w:r>
              <w:rPr>
                <w:lang w:val="fr-FR"/>
              </w:rPr>
              <w:t>397 995,50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91F1801" w14:textId="77777777">
            <w:pPr>
              <w:pStyle w:val="Tab3LastColNonGras"/>
              <w:rPr>
                <w:lang w:val="fr-FR"/>
              </w:rPr>
            </w:pPr>
            <w:r>
              <w:rPr>
                <w:lang w:val="fr-FR"/>
              </w:rPr>
              <w:t>0,11</w:t>
            </w:r>
          </w:p>
        </w:tc>
      </w:tr>
      <w:tr w14:paraId="3722F17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CD3BAEA" w14:textId="77777777">
            <w:pPr>
              <w:pStyle w:val="Tab3FirstColNonGras"/>
              <w:rPr>
                <w:lang w:val="fr-FR"/>
              </w:rPr>
            </w:pPr>
            <w:r>
              <w:rPr>
                <w:lang w:val="fr-FR"/>
              </w:rPr>
              <w:t>BANCO BPM SPA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1B68D2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3530650" w14:textId="77777777">
            <w:pPr>
              <w:pStyle w:val="Tab3MiddleColNonGras"/>
              <w:rPr>
                <w:lang w:val="fr-FR"/>
              </w:rPr>
            </w:pPr>
            <w:r>
              <w:rPr>
                <w:lang w:val="fr-FR"/>
              </w:rPr>
              <w:t>4 835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325F46A" w14:textId="77777777">
            <w:pPr>
              <w:pStyle w:val="Tab3MiddleColNonGras"/>
              <w:rPr>
                <w:lang w:val="fr-FR"/>
              </w:rPr>
            </w:pPr>
            <w:r>
              <w:rPr>
                <w:lang w:val="fr-FR"/>
              </w:rPr>
              <w:t>56 256,20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21E800B" w14:textId="77777777">
            <w:pPr>
              <w:pStyle w:val="Tab3LastColNonGras"/>
              <w:rPr>
                <w:lang w:val="fr-FR"/>
              </w:rPr>
            </w:pPr>
            <w:r>
              <w:rPr>
                <w:lang w:val="fr-FR"/>
              </w:rPr>
              <w:t>0,02</w:t>
            </w:r>
          </w:p>
        </w:tc>
      </w:tr>
      <w:tr w14:paraId="20B9C67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2959F3E" w14:textId="77777777">
            <w:pPr>
              <w:pStyle w:val="Tab3FirstColNonGras"/>
              <w:rPr>
                <w:lang w:val="fr-FR"/>
              </w:rPr>
            </w:pPr>
            <w:r>
              <w:rPr>
                <w:lang w:val="fr-FR"/>
              </w:rPr>
              <w:t>BANCO DE SABADELL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10AFEE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DE143DA" w14:textId="77777777">
            <w:pPr>
              <w:pStyle w:val="Tab3MiddleColNonGras"/>
              <w:rPr>
                <w:lang w:val="fr-FR"/>
              </w:rPr>
            </w:pPr>
            <w:r>
              <w:rPr>
                <w:lang w:val="fr-FR"/>
              </w:rPr>
              <w:t>27 199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5F4BF90" w14:textId="77777777">
            <w:pPr>
              <w:pStyle w:val="Tab3MiddleColNonGras"/>
              <w:rPr>
                <w:lang w:val="fr-FR"/>
              </w:rPr>
            </w:pPr>
            <w:r>
              <w:rPr>
                <w:lang w:val="fr-FR"/>
              </w:rPr>
              <w:t>86 300,16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965C817" w14:textId="77777777">
            <w:pPr>
              <w:pStyle w:val="Tab3LastColNonGras"/>
              <w:rPr>
                <w:lang w:val="fr-FR"/>
              </w:rPr>
            </w:pPr>
            <w:r>
              <w:rPr>
                <w:lang w:val="fr-FR"/>
              </w:rPr>
              <w:t>0,02</w:t>
            </w:r>
          </w:p>
        </w:tc>
      </w:tr>
      <w:tr w14:paraId="62ECB9E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20082BA" w14:textId="77777777">
            <w:pPr>
              <w:pStyle w:val="Tab3FirstColNonGras"/>
              <w:rPr>
                <w:lang w:val="fr-FR"/>
              </w:rPr>
            </w:pPr>
            <w:r>
              <w:rPr>
                <w:lang w:val="fr-FR"/>
              </w:rPr>
              <w:t>BANK LEUMI LE-ISRAEL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8A3E0D4" w14:textId="77777777">
            <w:pPr>
              <w:pStyle w:val="Tab1MiddleColNonGrasCentre"/>
              <w:rPr>
                <w:lang w:val="fr-FR"/>
              </w:rPr>
            </w:pPr>
            <w:r>
              <w:rPr>
                <w:lang w:val="fr-FR"/>
              </w:rPr>
              <w:t>ILS</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1F4F4E5" w14:textId="77777777">
            <w:pPr>
              <w:pStyle w:val="Tab3MiddleColNonGras"/>
              <w:rPr>
                <w:lang w:val="fr-FR"/>
              </w:rPr>
            </w:pPr>
            <w:r>
              <w:rPr>
                <w:lang w:val="fr-FR"/>
              </w:rPr>
              <w:t>6 457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D639A6F" w14:textId="77777777">
            <w:pPr>
              <w:pStyle w:val="Tab3MiddleColNonGras"/>
              <w:rPr>
                <w:lang w:val="fr-FR"/>
              </w:rPr>
            </w:pPr>
            <w:r>
              <w:rPr>
                <w:lang w:val="fr-FR"/>
              </w:rPr>
              <w:t>120 071,69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128525E" w14:textId="77777777">
            <w:pPr>
              <w:pStyle w:val="Tab3LastColNonGras"/>
              <w:rPr>
                <w:lang w:val="fr-FR"/>
              </w:rPr>
            </w:pPr>
            <w:r>
              <w:rPr>
                <w:lang w:val="fr-FR"/>
              </w:rPr>
              <w:t>0,03</w:t>
            </w:r>
          </w:p>
        </w:tc>
      </w:tr>
      <w:tr w14:paraId="6D6B01C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EA510B6" w14:textId="77777777">
            <w:pPr>
              <w:pStyle w:val="Tab3FirstColNonGras"/>
              <w:rPr>
                <w:lang w:val="fr-FR"/>
              </w:rPr>
            </w:pPr>
            <w:r>
              <w:rPr>
                <w:lang w:val="fr-FR"/>
              </w:rPr>
              <w:t>BANK OF AMERICA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D7EF3A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A553556" w14:textId="77777777">
            <w:pPr>
              <w:pStyle w:val="Tab3MiddleColNonGras"/>
              <w:rPr>
                <w:lang w:val="fr-FR"/>
              </w:rPr>
            </w:pPr>
            <w:r>
              <w:rPr>
                <w:lang w:val="fr-FR"/>
              </w:rPr>
              <w:t>34 316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1EC19E2" w14:textId="77777777">
            <w:pPr>
              <w:pStyle w:val="Tab3MiddleColNonGras"/>
              <w:rPr>
                <w:lang w:val="fr-FR"/>
              </w:rPr>
            </w:pPr>
            <w:r>
              <w:rPr>
                <w:lang w:val="fr-FR"/>
              </w:rPr>
              <w:t>1 623 833,12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9A9AD53" w14:textId="77777777">
            <w:pPr>
              <w:pStyle w:val="Tab3LastColNonGras"/>
              <w:rPr>
                <w:lang w:val="fr-FR"/>
              </w:rPr>
            </w:pPr>
            <w:r>
              <w:rPr>
                <w:lang w:val="fr-FR"/>
              </w:rPr>
              <w:t>0,47</w:t>
            </w:r>
          </w:p>
        </w:tc>
      </w:tr>
      <w:tr w14:paraId="0766260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3D30D53D" w14:textId="77777777">
            <w:pPr>
              <w:pStyle w:val="Tab3FirstColNonGras"/>
              <w:rPr>
                <w:lang w:val="en-US"/>
              </w:rPr>
            </w:pPr>
            <w:r w:rsidRPr="00D61EB0">
              <w:rPr>
                <w:lang w:val="en-US"/>
              </w:rPr>
              <w:t>BANK OF IRELAND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5714ED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6E9709B" w14:textId="77777777">
            <w:pPr>
              <w:pStyle w:val="Tab3MiddleColNonGras"/>
              <w:rPr>
                <w:lang w:val="fr-FR"/>
              </w:rPr>
            </w:pPr>
            <w:r>
              <w:rPr>
                <w:lang w:val="fr-FR"/>
              </w:rPr>
              <w:t>4 663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491CB7E" w14:textId="77777777">
            <w:pPr>
              <w:pStyle w:val="Tab3MiddleColNonGras"/>
              <w:rPr>
                <w:lang w:val="fr-FR"/>
              </w:rPr>
            </w:pPr>
            <w:r>
              <w:rPr>
                <w:lang w:val="fr-FR"/>
              </w:rPr>
              <w:t>66 149,22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8386ACD" w14:textId="77777777">
            <w:pPr>
              <w:pStyle w:val="Tab3LastColNonGras"/>
              <w:rPr>
                <w:lang w:val="fr-FR"/>
              </w:rPr>
            </w:pPr>
            <w:r>
              <w:rPr>
                <w:lang w:val="fr-FR"/>
              </w:rPr>
              <w:t>0,02</w:t>
            </w:r>
          </w:p>
        </w:tc>
      </w:tr>
      <w:tr w14:paraId="1D4978B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74CC7436" w14:textId="77777777">
            <w:pPr>
              <w:pStyle w:val="Tab3FirstColNonGras"/>
              <w:rPr>
                <w:lang w:val="en-US"/>
              </w:rPr>
            </w:pPr>
            <w:r w:rsidRPr="00D61EB0">
              <w:rPr>
                <w:lang w:val="en-US"/>
              </w:rPr>
              <w:t>BANK OF NEW YORK MELLON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2932DE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3541117" w14:textId="77777777">
            <w:pPr>
              <w:pStyle w:val="Tab3MiddleColNonGras"/>
              <w:rPr>
                <w:lang w:val="fr-FR"/>
              </w:rPr>
            </w:pPr>
            <w:r>
              <w:rPr>
                <w:lang w:val="fr-FR"/>
              </w:rPr>
              <w:t>3 603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B207EF8" w14:textId="77777777">
            <w:pPr>
              <w:pStyle w:val="Tab3MiddleColNonGras"/>
              <w:rPr>
                <w:lang w:val="fr-FR"/>
              </w:rPr>
            </w:pPr>
            <w:r>
              <w:rPr>
                <w:lang w:val="fr-FR"/>
              </w:rPr>
              <w:t>328 269,33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8B39AE0" w14:textId="77777777">
            <w:pPr>
              <w:pStyle w:val="Tab3LastColNonGras"/>
              <w:rPr>
                <w:lang w:val="fr-FR"/>
              </w:rPr>
            </w:pPr>
            <w:r>
              <w:rPr>
                <w:lang w:val="fr-FR"/>
              </w:rPr>
              <w:t>0,09</w:t>
            </w:r>
          </w:p>
        </w:tc>
      </w:tr>
      <w:tr w14:paraId="68D8D13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6A8C957" w14:textId="77777777">
            <w:pPr>
              <w:pStyle w:val="Tab3FirstColNonGras"/>
              <w:rPr>
                <w:lang w:val="fr-FR"/>
              </w:rPr>
            </w:pPr>
            <w:r>
              <w:rPr>
                <w:lang w:val="fr-FR"/>
              </w:rPr>
              <w:t>BARCLAYS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440E5AC"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8B7D3DF" w14:textId="77777777">
            <w:pPr>
              <w:pStyle w:val="Tab3MiddleColNonGras"/>
              <w:rPr>
                <w:lang w:val="fr-FR"/>
              </w:rPr>
            </w:pPr>
            <w:r>
              <w:rPr>
                <w:lang w:val="fr-FR"/>
              </w:rPr>
              <w:t>66 131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F47EA6C" w14:textId="77777777">
            <w:pPr>
              <w:pStyle w:val="Tab3MiddleColNonGras"/>
              <w:rPr>
                <w:lang w:val="fr-FR"/>
              </w:rPr>
            </w:pPr>
            <w:r>
              <w:rPr>
                <w:lang w:val="fr-FR"/>
              </w:rPr>
              <w:t>305 672,21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4F93E54" w14:textId="77777777">
            <w:pPr>
              <w:pStyle w:val="Tab3LastColNonGras"/>
              <w:rPr>
                <w:lang w:val="fr-FR"/>
              </w:rPr>
            </w:pPr>
            <w:r>
              <w:rPr>
                <w:lang w:val="fr-FR"/>
              </w:rPr>
              <w:t>0,09</w:t>
            </w:r>
          </w:p>
        </w:tc>
      </w:tr>
      <w:tr w14:paraId="3A3FBA8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0DE12E0" w14:textId="77777777">
            <w:pPr>
              <w:pStyle w:val="Tab3FirstColNonGras"/>
              <w:rPr>
                <w:lang w:val="fr-FR"/>
              </w:rPr>
            </w:pPr>
            <w:r>
              <w:rPr>
                <w:lang w:val="fr-FR"/>
              </w:rPr>
              <w:t>BNP PARIBAS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286FF8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006BECE" w14:textId="77777777">
            <w:pPr>
              <w:pStyle w:val="Tab3MiddleColNonGras"/>
              <w:rPr>
                <w:lang w:val="fr-FR"/>
              </w:rPr>
            </w:pPr>
            <w:r>
              <w:rPr>
                <w:lang w:val="fr-FR"/>
              </w:rPr>
              <w:t>4 579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DD2C4F8" w14:textId="77777777">
            <w:pPr>
              <w:pStyle w:val="Tab3MiddleColNonGras"/>
              <w:rPr>
                <w:lang w:val="fr-FR"/>
              </w:rPr>
            </w:pPr>
            <w:r>
              <w:rPr>
                <w:lang w:val="fr-FR"/>
              </w:rPr>
              <w:t>410 224,51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9DB39A9" w14:textId="77777777">
            <w:pPr>
              <w:pStyle w:val="Tab3LastColNonGras"/>
              <w:rPr>
                <w:lang w:val="fr-FR"/>
              </w:rPr>
            </w:pPr>
            <w:r>
              <w:rPr>
                <w:lang w:val="fr-FR"/>
              </w:rPr>
              <w:t>0,12</w:t>
            </w:r>
          </w:p>
        </w:tc>
      </w:tr>
      <w:tr w14:paraId="4C170E3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9E36E03" w14:textId="77777777">
            <w:pPr>
              <w:pStyle w:val="Tab3FirstColNonGras"/>
              <w:rPr>
                <w:lang w:val="fr-FR"/>
              </w:rPr>
            </w:pPr>
            <w:r>
              <w:rPr>
                <w:lang w:val="fr-FR"/>
              </w:rPr>
              <w:t>BPER BANCA SPA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5003FE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5A17B4E" w14:textId="77777777">
            <w:pPr>
              <w:pStyle w:val="Tab3MiddleColNonGras"/>
              <w:rPr>
                <w:lang w:val="fr-FR"/>
              </w:rPr>
            </w:pPr>
            <w:r>
              <w:rPr>
                <w:lang w:val="fr-FR"/>
              </w:rPr>
              <w:t>4 264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F04441E" w14:textId="77777777">
            <w:pPr>
              <w:pStyle w:val="Tab3MiddleColNonGras"/>
              <w:rPr>
                <w:lang w:val="fr-FR"/>
              </w:rPr>
            </w:pPr>
            <w:r>
              <w:rPr>
                <w:lang w:val="fr-FR"/>
              </w:rPr>
              <w:t>38 620,86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1B5F223" w14:textId="77777777">
            <w:pPr>
              <w:pStyle w:val="Tab3LastColNonGras"/>
              <w:rPr>
                <w:lang w:val="fr-FR"/>
              </w:rPr>
            </w:pPr>
            <w:r>
              <w:rPr>
                <w:lang w:val="fr-FR"/>
              </w:rPr>
              <w:t>0,01</w:t>
            </w:r>
          </w:p>
        </w:tc>
      </w:tr>
      <w:tr w14:paraId="4890C05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2B8A3F16" w14:textId="77777777">
            <w:pPr>
              <w:pStyle w:val="Tab3FirstColNonGras"/>
              <w:rPr>
                <w:lang w:val="en-US"/>
              </w:rPr>
            </w:pPr>
            <w:r w:rsidRPr="00D61EB0">
              <w:rPr>
                <w:lang w:val="en-US"/>
              </w:rPr>
              <w:t>CAN IMPERIAL BK OF COMMERCE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1A2EB4F"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22A1802" w14:textId="77777777">
            <w:pPr>
              <w:pStyle w:val="Tab3MiddleColNonGras"/>
              <w:rPr>
                <w:lang w:val="fr-FR"/>
              </w:rPr>
            </w:pPr>
            <w:r>
              <w:rPr>
                <w:lang w:val="fr-FR"/>
              </w:rPr>
              <w:t>4 093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3E7C430" w14:textId="77777777">
            <w:pPr>
              <w:pStyle w:val="Tab3MiddleColNonGras"/>
              <w:rPr>
                <w:lang w:val="fr-FR"/>
              </w:rPr>
            </w:pPr>
            <w:r>
              <w:rPr>
                <w:lang w:val="fr-FR"/>
              </w:rPr>
              <w:t>289 938,85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D5E5FDF" w14:textId="77777777">
            <w:pPr>
              <w:pStyle w:val="Tab3LastColNonGras"/>
              <w:rPr>
                <w:lang w:val="fr-FR"/>
              </w:rPr>
            </w:pPr>
            <w:r>
              <w:rPr>
                <w:lang w:val="fr-FR"/>
              </w:rPr>
              <w:t>0,08</w:t>
            </w:r>
          </w:p>
        </w:tc>
      </w:tr>
      <w:tr w14:paraId="4E11572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43054CC" w14:textId="77777777">
            <w:pPr>
              <w:pStyle w:val="Tab3FirstColNonGras"/>
              <w:rPr>
                <w:lang w:val="fr-FR"/>
              </w:rPr>
            </w:pPr>
            <w:r>
              <w:rPr>
                <w:lang w:val="fr-FR"/>
              </w:rPr>
              <w:t>CREDIT AGRICOLE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D320BF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4021EA9" w14:textId="77777777">
            <w:pPr>
              <w:pStyle w:val="Tab3MiddleColNonGras"/>
              <w:rPr>
                <w:lang w:val="fr-FR"/>
              </w:rPr>
            </w:pPr>
            <w:r>
              <w:rPr>
                <w:lang w:val="fr-FR"/>
              </w:rPr>
              <w:t>5 319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05EECB8" w14:textId="77777777">
            <w:pPr>
              <w:pStyle w:val="Tab3MiddleColNonGras"/>
              <w:rPr>
                <w:lang w:val="fr-FR"/>
              </w:rPr>
            </w:pPr>
            <w:r>
              <w:rPr>
                <w:lang w:val="fr-FR"/>
              </w:rPr>
              <w:t>100 305,18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4AC38F1" w14:textId="77777777">
            <w:pPr>
              <w:pStyle w:val="Tab3LastColNonGras"/>
              <w:rPr>
                <w:lang w:val="fr-FR"/>
              </w:rPr>
            </w:pPr>
            <w:r>
              <w:rPr>
                <w:lang w:val="fr-FR"/>
              </w:rPr>
              <w:t>0,03</w:t>
            </w:r>
          </w:p>
        </w:tc>
      </w:tr>
      <w:tr w14:paraId="4B67191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A4A738E" w14:textId="77777777">
            <w:pPr>
              <w:pStyle w:val="Tab3FirstColNonGras"/>
              <w:rPr>
                <w:lang w:val="fr-FR"/>
              </w:rPr>
            </w:pPr>
            <w:r>
              <w:rPr>
                <w:lang w:val="fr-FR"/>
              </w:rPr>
              <w:t>DANSKE BANK A/S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53FBB04" w14:textId="77777777">
            <w:pPr>
              <w:pStyle w:val="Tab1MiddleColNonGrasCentre"/>
              <w:rPr>
                <w:lang w:val="fr-FR"/>
              </w:rPr>
            </w:pPr>
            <w:r>
              <w:rPr>
                <w:lang w:val="fr-FR"/>
              </w:rPr>
              <w:t>DKK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8F67DA4" w14:textId="77777777">
            <w:pPr>
              <w:pStyle w:val="Tab3MiddleColNonGras"/>
              <w:rPr>
                <w:lang w:val="fr-FR"/>
              </w:rPr>
            </w:pPr>
            <w:r>
              <w:rPr>
                <w:lang w:val="fr-FR"/>
              </w:rPr>
              <w:t>3 364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33ED9B8" w14:textId="77777777">
            <w:pPr>
              <w:pStyle w:val="Tab3MiddleColNonGras"/>
              <w:rPr>
                <w:lang w:val="fr-FR"/>
              </w:rPr>
            </w:pPr>
            <w:r>
              <w:rPr>
                <w:lang w:val="fr-FR"/>
              </w:rPr>
              <w:t>136 712,30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D3312DB" w14:textId="77777777">
            <w:pPr>
              <w:pStyle w:val="Tab3LastColNonGras"/>
              <w:rPr>
                <w:lang w:val="fr-FR"/>
              </w:rPr>
            </w:pPr>
            <w:r>
              <w:rPr>
                <w:lang w:val="fr-FR"/>
              </w:rPr>
              <w:t>0,04</w:t>
            </w:r>
          </w:p>
        </w:tc>
      </w:tr>
    </w:tbl>
    <w:p w:rsidR="001F4AEE" w14:paraId="4D39E39D" w14:textId="77777777">
      <w:pPr>
        <w:sectPr>
          <w:headerReference w:type="default" r:id="rId22"/>
          <w:footerReference w:type="default" r:id="rId23"/>
          <w:pgSz w:w="11900" w:h="16840"/>
          <w:pgMar w:top="2154" w:right="1134" w:bottom="1134" w:left="1134" w:header="400" w:footer="400" w:gutter="0"/>
          <w:cols w:space="720"/>
        </w:sectPr>
      </w:pPr>
    </w:p>
    <w:p w:rsidR="001F4AEE" w14:paraId="40DDE596" w14:textId="77777777">
      <w:pPr>
        <w:spacing w:line="30" w:lineRule="exact"/>
        <w:rPr>
          <w:sz w:val="3"/>
        </w:rPr>
      </w:pPr>
    </w:p>
    <w:p w:rsidR="001F4AEE" w14:paraId="1BBD8662" w14:textId="77777777">
      <w:pPr>
        <w:pStyle w:val="TechnicalBookmark"/>
        <w:rPr>
          <w:lang w:val="fr-FR"/>
        </w:rPr>
      </w:pPr>
      <w:r>
        <w:rPr>
          <w:lang w:val="fr-FR"/>
        </w:rPr>
        <w:fldChar w:fldCharType="begin"/>
      </w:r>
      <w:r>
        <w:rPr>
          <w:lang w:val="fr-FR"/>
        </w:rPr>
        <w:instrText xml:space="preserve"> SET BEADD174C595524B7EA5B38F5FB4F90B "" </w:instrText>
      </w:r>
      <w:r>
        <w:rPr>
          <w:lang w:val="fr-FR"/>
        </w:rPr>
        <w:fldChar w:fldCharType="separate"/>
      </w:r>
      <w:bookmarkStart w:id="78" w:name="BEADD174C595524B7EA5B38F5FB4F90B"/>
      <w:bookmarkEnd w:id="78"/>
      <w:r>
        <w:rPr>
          <w:lang w:val="fr-FR"/>
        </w:rPr>
        <w:fldChar w:fldCharType="end"/>
      </w:r>
    </w:p>
    <w:p w:rsidR="001F4AEE" w14:paraId="50D91DBD" w14:textId="77777777">
      <w:pPr>
        <w:pStyle w:val="H2"/>
        <w:rPr>
          <w:lang w:val="fr-FR"/>
        </w:rPr>
      </w:pPr>
      <w:r>
        <w:rPr>
          <w:lang w:val="fr-FR"/>
        </w:rPr>
        <w:t xml:space="preserve">Inventaire des éléments de bilan </w:t>
      </w:r>
    </w:p>
    <w:p w:rsidR="001F4AEE" w14:paraId="3456C815" w14:textId="77777777">
      <w:pPr>
        <w:pStyle w:val="NoRefToc"/>
        <w:rPr>
          <w:lang w:val="fr-FR"/>
        </w:rPr>
      </w:pPr>
    </w:p>
    <w:p w:rsidR="001F4AEE" w14:paraId="0046A11A" w14:textId="77777777">
      <w:pPr>
        <w:pStyle w:val="TechnicalBookmark"/>
        <w:rPr>
          <w:lang w:val="fr-FR"/>
        </w:rPr>
      </w:pPr>
      <w:r>
        <w:rPr>
          <w:lang w:val="fr-FR"/>
        </w:rPr>
        <w:fldChar w:fldCharType="begin"/>
      </w:r>
      <w:r>
        <w:rPr>
          <w:lang w:val="fr-FR"/>
        </w:rPr>
        <w:instrText xml:space="preserve"> SET C2A1E00D59781DED77F74E37BA31F959 "" </w:instrText>
      </w:r>
      <w:r>
        <w:rPr>
          <w:lang w:val="fr-FR"/>
        </w:rPr>
        <w:fldChar w:fldCharType="separate"/>
      </w:r>
      <w:bookmarkStart w:id="79" w:name="C2A1E00D59781DED77F74E37BA31F959"/>
      <w:bookmarkEnd w:id="79"/>
      <w:r>
        <w:rPr>
          <w:lang w:val="fr-FR"/>
        </w:rPr>
        <w:fldChar w:fldCharType="end"/>
      </w:r>
    </w:p>
    <w:p w:rsidR="001F4AEE" w14:paraId="309F2342"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062646AE"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64187963"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19F5AE19"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0124B47A" w14:textId="77777777">
            <w:pPr>
              <w:pStyle w:val="EnteteTabMiddleColBordure"/>
              <w:spacing w:line="184" w:lineRule="exact"/>
              <w:rPr>
                <w:lang w:val="fr-FR"/>
              </w:rPr>
            </w:pPr>
            <w:r>
              <w:rPr>
                <w:lang w:val="fr-FR"/>
              </w:rPr>
              <w:t>Quantité ou</w:t>
            </w:r>
          </w:p>
          <w:p w:rsidR="001F4AEE" w14:paraId="782C530E"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77B3CC4"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2DD71A2C" w14:textId="77777777">
            <w:pPr>
              <w:pStyle w:val="EnteteTabLastColBordure"/>
              <w:spacing w:line="184" w:lineRule="exact"/>
              <w:rPr>
                <w:lang w:val="fr-FR"/>
              </w:rPr>
            </w:pPr>
            <w:r>
              <w:rPr>
                <w:lang w:val="fr-FR"/>
              </w:rPr>
              <w:t>% Actif</w:t>
            </w:r>
          </w:p>
          <w:p w:rsidR="001F4AEE" w14:paraId="3013E433" w14:textId="77777777">
            <w:pPr>
              <w:pStyle w:val="EnteteTabLastColBordure"/>
              <w:spacing w:line="184" w:lineRule="exact"/>
              <w:rPr>
                <w:lang w:val="fr-FR"/>
              </w:rPr>
            </w:pPr>
            <w:r>
              <w:rPr>
                <w:lang w:val="fr-FR"/>
              </w:rPr>
              <w:t>Net</w:t>
            </w:r>
          </w:p>
        </w:tc>
      </w:tr>
      <w:tr w14:paraId="1AAE5B5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5724600" w14:textId="77777777">
            <w:pPr>
              <w:pStyle w:val="Tab3FirstColNonGras"/>
              <w:rPr>
                <w:lang w:val="fr-FR"/>
              </w:rPr>
            </w:pPr>
            <w:r>
              <w:rPr>
                <w:lang w:val="fr-FR"/>
              </w:rPr>
              <w:t>DEUTSCHE BANK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BF417B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E3F67CE" w14:textId="77777777">
            <w:pPr>
              <w:pStyle w:val="Tab3MiddleColNonGras"/>
              <w:rPr>
                <w:lang w:val="fr-FR"/>
              </w:rPr>
            </w:pPr>
            <w:r>
              <w:rPr>
                <w:lang w:val="fr-FR"/>
              </w:rPr>
              <w:t>8 648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17E21E0" w14:textId="77777777">
            <w:pPr>
              <w:pStyle w:val="Tab3MiddleColNonGras"/>
              <w:rPr>
                <w:lang w:val="fr-FR"/>
              </w:rPr>
            </w:pPr>
            <w:r>
              <w:rPr>
                <w:lang w:val="fr-FR"/>
              </w:rPr>
              <w:t>255 512,12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EE6789F" w14:textId="77777777">
            <w:pPr>
              <w:pStyle w:val="Tab3LastColNonGras"/>
              <w:rPr>
                <w:lang w:val="fr-FR"/>
              </w:rPr>
            </w:pPr>
            <w:r>
              <w:rPr>
                <w:lang w:val="fr-FR"/>
              </w:rPr>
              <w:t>0,07</w:t>
            </w:r>
          </w:p>
        </w:tc>
      </w:tr>
      <w:tr w14:paraId="764EE40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DF29130" w14:textId="77777777">
            <w:pPr>
              <w:pStyle w:val="Tab3FirstColNonGras"/>
              <w:rPr>
                <w:lang w:val="fr-FR"/>
              </w:rPr>
            </w:pPr>
            <w:r>
              <w:rPr>
                <w:lang w:val="fr-FR"/>
              </w:rPr>
              <w:t>DNB BANK ASA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DB8B8F3" w14:textId="77777777">
            <w:pPr>
              <w:pStyle w:val="Tab1MiddleColNonGrasCentre"/>
              <w:rPr>
                <w:lang w:val="fr-FR"/>
              </w:rPr>
            </w:pPr>
            <w:r>
              <w:rPr>
                <w:lang w:val="fr-FR"/>
              </w:rPr>
              <w:t>NOK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29C2C4D" w14:textId="77777777">
            <w:pPr>
              <w:pStyle w:val="Tab3MiddleColNonGras"/>
              <w:rPr>
                <w:lang w:val="fr-FR"/>
              </w:rPr>
            </w:pPr>
            <w:r>
              <w:rPr>
                <w:lang w:val="fr-FR"/>
              </w:rPr>
              <w:t>2 907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C5C60A2" w14:textId="77777777">
            <w:pPr>
              <w:pStyle w:val="Tab3MiddleColNonGras"/>
              <w:rPr>
                <w:lang w:val="fr-FR"/>
              </w:rPr>
            </w:pPr>
            <w:r>
              <w:rPr>
                <w:lang w:val="fr-FR"/>
              </w:rPr>
              <w:t>80 030,78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EF41ECF" w14:textId="77777777">
            <w:pPr>
              <w:pStyle w:val="Tab3LastColNonGras"/>
              <w:rPr>
                <w:lang w:val="fr-FR"/>
              </w:rPr>
            </w:pPr>
            <w:r>
              <w:rPr>
                <w:lang w:val="fr-FR"/>
              </w:rPr>
              <w:t>0,02</w:t>
            </w:r>
          </w:p>
        </w:tc>
      </w:tr>
      <w:tr w14:paraId="6A64407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B8FECD7" w14:textId="77777777">
            <w:pPr>
              <w:pStyle w:val="Tab3FirstColNonGras"/>
              <w:rPr>
                <w:lang w:val="fr-FR"/>
              </w:rPr>
            </w:pPr>
            <w:r>
              <w:rPr>
                <w:lang w:val="fr-FR"/>
              </w:rPr>
              <w:t>ERSTE GROUP BANK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B7DC26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297E280" w14:textId="77777777">
            <w:pPr>
              <w:pStyle w:val="Tab3MiddleColNonGras"/>
              <w:rPr>
                <w:lang w:val="fr-FR"/>
              </w:rPr>
            </w:pPr>
            <w:r>
              <w:rPr>
                <w:lang w:val="fr-FR"/>
              </w:rPr>
              <w:t>1 517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7D936B9" w14:textId="77777777">
            <w:pPr>
              <w:pStyle w:val="Tab3MiddleColNonGras"/>
              <w:rPr>
                <w:lang w:val="fr-FR"/>
              </w:rPr>
            </w:pPr>
            <w:r>
              <w:rPr>
                <w:lang w:val="fr-FR"/>
              </w:rPr>
              <w:t>128 746,81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315121A" w14:textId="77777777">
            <w:pPr>
              <w:pStyle w:val="Tab3LastColNonGras"/>
              <w:rPr>
                <w:lang w:val="fr-FR"/>
              </w:rPr>
            </w:pPr>
            <w:r>
              <w:rPr>
                <w:lang w:val="fr-FR"/>
              </w:rPr>
              <w:t>0,04</w:t>
            </w:r>
          </w:p>
        </w:tc>
      </w:tr>
      <w:tr w14:paraId="0E85EE2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3091674" w14:textId="77777777">
            <w:pPr>
              <w:pStyle w:val="Tab3FirstColNonGras"/>
              <w:rPr>
                <w:lang w:val="fr-FR"/>
              </w:rPr>
            </w:pPr>
            <w:r>
              <w:rPr>
                <w:lang w:val="fr-FR"/>
              </w:rPr>
              <w:t>FIFTH THIRD BANCORP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EAF2D1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161BA1A" w14:textId="77777777">
            <w:pPr>
              <w:pStyle w:val="Tab3MiddleColNonGras"/>
              <w:rPr>
                <w:lang w:val="fr-FR"/>
              </w:rPr>
            </w:pPr>
            <w:r>
              <w:rPr>
                <w:lang w:val="fr-FR"/>
              </w:rPr>
              <w:t>3 757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D2D3CC0" w14:textId="77777777">
            <w:pPr>
              <w:pStyle w:val="Tab3MiddleColNonGras"/>
              <w:rPr>
                <w:lang w:val="fr-FR"/>
              </w:rPr>
            </w:pPr>
            <w:r>
              <w:rPr>
                <w:lang w:val="fr-FR"/>
              </w:rPr>
              <w:t>154 525,41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B8092A0" w14:textId="77777777">
            <w:pPr>
              <w:pStyle w:val="Tab3LastColNonGras"/>
              <w:rPr>
                <w:lang w:val="fr-FR"/>
              </w:rPr>
            </w:pPr>
            <w:r>
              <w:rPr>
                <w:lang w:val="fr-FR"/>
              </w:rPr>
              <w:t>0,04</w:t>
            </w:r>
          </w:p>
        </w:tc>
      </w:tr>
      <w:tr w14:paraId="2279C9A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30E028B" w14:textId="77777777">
            <w:pPr>
              <w:pStyle w:val="Tab3FirstColNonGras"/>
              <w:rPr>
                <w:lang w:val="fr-FR"/>
              </w:rPr>
            </w:pPr>
            <w:r>
              <w:rPr>
                <w:lang w:val="fr-FR"/>
              </w:rPr>
              <w:t>HSBC HOLDINGS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B846711"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1729F1C" w14:textId="77777777">
            <w:pPr>
              <w:pStyle w:val="Tab3MiddleColNonGras"/>
              <w:rPr>
                <w:lang w:val="fr-FR"/>
              </w:rPr>
            </w:pPr>
            <w:r>
              <w:rPr>
                <w:lang w:val="fr-FR"/>
              </w:rPr>
              <w:t>83 063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54EEE41" w14:textId="77777777">
            <w:pPr>
              <w:pStyle w:val="Tab3MiddleColNonGras"/>
              <w:rPr>
                <w:lang w:val="fr-FR"/>
              </w:rPr>
            </w:pPr>
            <w:r>
              <w:rPr>
                <w:lang w:val="fr-FR"/>
              </w:rPr>
              <w:t>1 003 719,22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01721D5" w14:textId="77777777">
            <w:pPr>
              <w:pStyle w:val="Tab3LastColNonGras"/>
              <w:rPr>
                <w:lang w:val="fr-FR"/>
              </w:rPr>
            </w:pPr>
            <w:r>
              <w:rPr>
                <w:lang w:val="fr-FR"/>
              </w:rPr>
              <w:t>0,29</w:t>
            </w:r>
          </w:p>
        </w:tc>
      </w:tr>
      <w:tr w14:paraId="05E9390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5394337" w14:textId="77777777">
            <w:pPr>
              <w:pStyle w:val="Tab3FirstColNonGras"/>
              <w:rPr>
                <w:lang w:val="fr-FR"/>
              </w:rPr>
            </w:pPr>
            <w:r>
              <w:rPr>
                <w:lang w:val="fr-FR"/>
              </w:rPr>
              <w:t>HUNTINGTON BANCSHARES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0D4560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CF4CAC5" w14:textId="77777777">
            <w:pPr>
              <w:pStyle w:val="Tab3MiddleColNonGras"/>
              <w:rPr>
                <w:lang w:val="fr-FR"/>
              </w:rPr>
            </w:pPr>
            <w:r>
              <w:rPr>
                <w:lang w:val="fr-FR"/>
              </w:rPr>
              <w:t>8 130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613B005" w14:textId="77777777">
            <w:pPr>
              <w:pStyle w:val="Tab3MiddleColNonGras"/>
              <w:rPr>
                <w:lang w:val="fr-FR"/>
              </w:rPr>
            </w:pPr>
            <w:r>
              <w:rPr>
                <w:lang w:val="fr-FR"/>
              </w:rPr>
              <w:t>136 258,80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C54A274" w14:textId="77777777">
            <w:pPr>
              <w:pStyle w:val="Tab3LastColNonGras"/>
              <w:rPr>
                <w:lang w:val="fr-FR"/>
              </w:rPr>
            </w:pPr>
            <w:r>
              <w:rPr>
                <w:lang w:val="fr-FR"/>
              </w:rPr>
              <w:t>0,04</w:t>
            </w:r>
          </w:p>
        </w:tc>
      </w:tr>
      <w:tr w14:paraId="497512D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F3E5367" w14:textId="77777777">
            <w:pPr>
              <w:pStyle w:val="Tab3FirstColNonGras"/>
              <w:rPr>
                <w:lang w:val="fr-FR"/>
              </w:rPr>
            </w:pPr>
            <w:r>
              <w:rPr>
                <w:lang w:val="fr-FR"/>
              </w:rPr>
              <w:t>ING GROEP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51292A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490CA49" w14:textId="77777777">
            <w:pPr>
              <w:pStyle w:val="Tab3MiddleColNonGras"/>
              <w:rPr>
                <w:lang w:val="fr-FR"/>
              </w:rPr>
            </w:pPr>
            <w:r>
              <w:rPr>
                <w:lang w:val="fr-FR"/>
              </w:rPr>
              <w:t>15 182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1AD4696" w14:textId="77777777">
            <w:pPr>
              <w:pStyle w:val="Tab3MiddleColNonGras"/>
              <w:rPr>
                <w:lang w:val="fr-FR"/>
              </w:rPr>
            </w:pPr>
            <w:r>
              <w:rPr>
                <w:lang w:val="fr-FR"/>
              </w:rPr>
              <w:t>331 941,22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F79A9D5" w14:textId="77777777">
            <w:pPr>
              <w:pStyle w:val="Tab3LastColNonGras"/>
              <w:rPr>
                <w:lang w:val="fr-FR"/>
              </w:rPr>
            </w:pPr>
            <w:r>
              <w:rPr>
                <w:lang w:val="fr-FR"/>
              </w:rPr>
              <w:t>0,10</w:t>
            </w:r>
          </w:p>
        </w:tc>
      </w:tr>
      <w:tr w14:paraId="185F778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B60A05E" w14:textId="77777777">
            <w:pPr>
              <w:pStyle w:val="Tab3FirstColNonGras"/>
              <w:rPr>
                <w:lang w:val="fr-FR"/>
              </w:rPr>
            </w:pPr>
            <w:r>
              <w:rPr>
                <w:lang w:val="fr-FR"/>
              </w:rPr>
              <w:t>ISRAEL DISCOUNT BANK-A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4F4FCF5" w14:textId="77777777">
            <w:pPr>
              <w:pStyle w:val="Tab1MiddleColNonGrasCentre"/>
              <w:rPr>
                <w:lang w:val="fr-FR"/>
              </w:rPr>
            </w:pPr>
            <w:r>
              <w:rPr>
                <w:lang w:val="fr-FR"/>
              </w:rPr>
              <w:t>ILS</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5990F6F" w14:textId="77777777">
            <w:pPr>
              <w:pStyle w:val="Tab3MiddleColNonGras"/>
              <w:rPr>
                <w:lang w:val="fr-FR"/>
              </w:rPr>
            </w:pPr>
            <w:r>
              <w:rPr>
                <w:lang w:val="fr-FR"/>
              </w:rPr>
              <w:t>6 467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BF1D34A" w14:textId="77777777">
            <w:pPr>
              <w:pStyle w:val="Tab3MiddleColNonGras"/>
              <w:rPr>
                <w:lang w:val="fr-FR"/>
              </w:rPr>
            </w:pPr>
            <w:r>
              <w:rPr>
                <w:lang w:val="fr-FR"/>
              </w:rPr>
              <w:t>64 449,80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743A00B" w14:textId="77777777">
            <w:pPr>
              <w:pStyle w:val="Tab3LastColNonGras"/>
              <w:rPr>
                <w:lang w:val="fr-FR"/>
              </w:rPr>
            </w:pPr>
            <w:r>
              <w:rPr>
                <w:lang w:val="fr-FR"/>
              </w:rPr>
              <w:t>0,02</w:t>
            </w:r>
          </w:p>
        </w:tc>
      </w:tr>
      <w:tr w14:paraId="2799B1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1792BFE" w14:textId="77777777">
            <w:pPr>
              <w:pStyle w:val="Tab3FirstColNonGras"/>
              <w:rPr>
                <w:lang w:val="fr-FR"/>
              </w:rPr>
            </w:pPr>
            <w:r>
              <w:rPr>
                <w:lang w:val="fr-FR"/>
              </w:rPr>
              <w:t>JPMORGAN CHASE &amp;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09980B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BEBFDB1" w14:textId="77777777">
            <w:pPr>
              <w:pStyle w:val="Tab3MiddleColNonGras"/>
              <w:rPr>
                <w:lang w:val="fr-FR"/>
              </w:rPr>
            </w:pPr>
            <w:r>
              <w:rPr>
                <w:lang w:val="fr-FR"/>
              </w:rPr>
              <w:t>13 786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77049E5" w14:textId="77777777">
            <w:pPr>
              <w:pStyle w:val="Tab3MiddleColNonGras"/>
              <w:rPr>
                <w:lang w:val="fr-FR"/>
              </w:rPr>
            </w:pPr>
            <w:r>
              <w:rPr>
                <w:lang w:val="fr-FR"/>
              </w:rPr>
              <w:t>3 996 699,26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9CF7A74" w14:textId="77777777">
            <w:pPr>
              <w:pStyle w:val="Tab3LastColNonGras"/>
              <w:rPr>
                <w:lang w:val="fr-FR"/>
              </w:rPr>
            </w:pPr>
            <w:r>
              <w:rPr>
                <w:lang w:val="fr-FR"/>
              </w:rPr>
              <w:t>1,15</w:t>
            </w:r>
          </w:p>
        </w:tc>
      </w:tr>
      <w:tr w14:paraId="5EEA60F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E29EB68" w14:textId="77777777">
            <w:pPr>
              <w:pStyle w:val="Tab3FirstColNonGras"/>
              <w:rPr>
                <w:lang w:val="fr-FR"/>
              </w:rPr>
            </w:pPr>
            <w:r>
              <w:rPr>
                <w:lang w:val="fr-FR"/>
              </w:rPr>
              <w:t>KBC GROUP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938CAA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2C32249" w14:textId="77777777">
            <w:pPr>
              <w:pStyle w:val="Tab3MiddleColNonGras"/>
              <w:rPr>
                <w:lang w:val="fr-FR"/>
              </w:rPr>
            </w:pPr>
            <w:r>
              <w:rPr>
                <w:lang w:val="fr-FR"/>
              </w:rPr>
              <w:t>1 067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3073E83" w14:textId="77777777">
            <w:pPr>
              <w:pStyle w:val="Tab3MiddleColNonGras"/>
              <w:rPr>
                <w:lang w:val="fr-FR"/>
              </w:rPr>
            </w:pPr>
            <w:r>
              <w:rPr>
                <w:lang w:val="fr-FR"/>
              </w:rPr>
              <w:t>109 793,97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7F5E1F5" w14:textId="77777777">
            <w:pPr>
              <w:pStyle w:val="Tab3LastColNonGras"/>
              <w:rPr>
                <w:lang w:val="fr-FR"/>
              </w:rPr>
            </w:pPr>
            <w:r>
              <w:rPr>
                <w:lang w:val="fr-FR"/>
              </w:rPr>
              <w:t>0,03</w:t>
            </w:r>
          </w:p>
        </w:tc>
      </w:tr>
      <w:tr w14:paraId="691DF39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0962829" w14:textId="77777777">
            <w:pPr>
              <w:pStyle w:val="Tab3FirstColNonGras"/>
              <w:rPr>
                <w:lang w:val="fr-FR"/>
              </w:rPr>
            </w:pPr>
            <w:r>
              <w:rPr>
                <w:lang w:val="fr-FR"/>
              </w:rPr>
              <w:t>LLOYDS BANKING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B8F9D95"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F9D6486" w14:textId="77777777">
            <w:pPr>
              <w:pStyle w:val="Tab3MiddleColNonGras"/>
              <w:rPr>
                <w:lang w:val="fr-FR"/>
              </w:rPr>
            </w:pPr>
            <w:r>
              <w:rPr>
                <w:lang w:val="fr-FR"/>
              </w:rPr>
              <w:t>292 160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4264B35" w14:textId="77777777">
            <w:pPr>
              <w:pStyle w:val="Tab3MiddleColNonGras"/>
              <w:rPr>
                <w:lang w:val="fr-FR"/>
              </w:rPr>
            </w:pPr>
            <w:r>
              <w:rPr>
                <w:lang w:val="fr-FR"/>
              </w:rPr>
              <w:t>307 079,38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C202AFD" w14:textId="77777777">
            <w:pPr>
              <w:pStyle w:val="Tab3LastColNonGras"/>
              <w:rPr>
                <w:lang w:val="fr-FR"/>
              </w:rPr>
            </w:pPr>
            <w:r>
              <w:rPr>
                <w:lang w:val="fr-FR"/>
              </w:rPr>
              <w:t>0,09</w:t>
            </w:r>
          </w:p>
        </w:tc>
      </w:tr>
      <w:tr w14:paraId="7792D27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D17C7B8" w14:textId="77777777">
            <w:pPr>
              <w:pStyle w:val="Tab3FirstColNonGras"/>
              <w:rPr>
                <w:lang w:val="fr-FR"/>
              </w:rPr>
            </w:pPr>
            <w:r>
              <w:rPr>
                <w:lang w:val="fr-FR"/>
              </w:rPr>
              <w:t>M &amp; T BANK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455B71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75D8747" w14:textId="77777777">
            <w:pPr>
              <w:pStyle w:val="Tab3MiddleColNonGras"/>
              <w:rPr>
                <w:lang w:val="fr-FR"/>
              </w:rPr>
            </w:pPr>
            <w:r>
              <w:rPr>
                <w:lang w:val="fr-FR"/>
              </w:rPr>
              <w:t>916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A1BA926" w14:textId="77777777">
            <w:pPr>
              <w:pStyle w:val="Tab3MiddleColNonGras"/>
              <w:rPr>
                <w:lang w:val="fr-FR"/>
              </w:rPr>
            </w:pPr>
            <w:r>
              <w:rPr>
                <w:lang w:val="fr-FR"/>
              </w:rPr>
              <w:t>177 694,84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2350878" w14:textId="77777777">
            <w:pPr>
              <w:pStyle w:val="Tab3LastColNonGras"/>
              <w:rPr>
                <w:lang w:val="fr-FR"/>
              </w:rPr>
            </w:pPr>
            <w:r>
              <w:rPr>
                <w:lang w:val="fr-FR"/>
              </w:rPr>
              <w:t>0,05</w:t>
            </w:r>
          </w:p>
        </w:tc>
      </w:tr>
      <w:tr w14:paraId="12247AD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6A1D8A8" w14:textId="77777777">
            <w:pPr>
              <w:pStyle w:val="Tab3FirstColNonGras"/>
              <w:rPr>
                <w:lang w:val="fr-FR"/>
              </w:rPr>
            </w:pPr>
            <w:r>
              <w:rPr>
                <w:lang w:val="fr-FR"/>
              </w:rPr>
              <w:t>MITSUBISHI UFJ FINANCIAL GRO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A017761"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54D8F9E" w14:textId="77777777">
            <w:pPr>
              <w:pStyle w:val="Tab3MiddleColNonGras"/>
              <w:rPr>
                <w:lang w:val="fr-FR"/>
              </w:rPr>
            </w:pPr>
            <w:r>
              <w:rPr>
                <w:lang w:val="fr-FR"/>
              </w:rPr>
              <w:t>50 900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B8B6FE6" w14:textId="77777777">
            <w:pPr>
              <w:pStyle w:val="Tab3MiddleColNonGras"/>
              <w:rPr>
                <w:lang w:val="fr-FR"/>
              </w:rPr>
            </w:pPr>
            <w:r>
              <w:rPr>
                <w:lang w:val="fr-FR"/>
              </w:rPr>
              <w:t>698 776,06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F5099AE" w14:textId="77777777">
            <w:pPr>
              <w:pStyle w:val="Tab3LastColNonGras"/>
              <w:rPr>
                <w:lang w:val="fr-FR"/>
              </w:rPr>
            </w:pPr>
            <w:r>
              <w:rPr>
                <w:lang w:val="fr-FR"/>
              </w:rPr>
              <w:t>0,20</w:t>
            </w:r>
          </w:p>
        </w:tc>
      </w:tr>
      <w:tr w14:paraId="60073CB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C8A0AD0" w14:textId="77777777">
            <w:pPr>
              <w:pStyle w:val="Tab3FirstColNonGras"/>
              <w:rPr>
                <w:lang w:val="fr-FR"/>
              </w:rPr>
            </w:pPr>
            <w:r>
              <w:rPr>
                <w:lang w:val="fr-FR"/>
              </w:rPr>
              <w:t>MIZRAHI TEFAHOT BANK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6CD8C93" w14:textId="77777777">
            <w:pPr>
              <w:pStyle w:val="Tab1MiddleColNonGrasCentre"/>
              <w:rPr>
                <w:lang w:val="fr-FR"/>
              </w:rPr>
            </w:pPr>
            <w:r>
              <w:rPr>
                <w:lang w:val="fr-FR"/>
              </w:rPr>
              <w:t>ILS</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696DA63" w14:textId="77777777">
            <w:pPr>
              <w:pStyle w:val="Tab3MiddleColNonGras"/>
              <w:rPr>
                <w:lang w:val="fr-FR"/>
              </w:rPr>
            </w:pPr>
            <w:r>
              <w:rPr>
                <w:lang w:val="fr-FR"/>
              </w:rPr>
              <w:t>306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444F2E4" w14:textId="77777777">
            <w:pPr>
              <w:pStyle w:val="Tab3MiddleColNonGras"/>
              <w:rPr>
                <w:lang w:val="fr-FR"/>
              </w:rPr>
            </w:pPr>
            <w:r>
              <w:rPr>
                <w:lang w:val="fr-FR"/>
              </w:rPr>
              <w:t>19 945,86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426D007" w14:textId="77777777">
            <w:pPr>
              <w:pStyle w:val="Tab3LastColNonGras"/>
              <w:rPr>
                <w:lang w:val="fr-FR"/>
              </w:rPr>
            </w:pPr>
            <w:r>
              <w:rPr>
                <w:lang w:val="fr-FR"/>
              </w:rPr>
              <w:t>0,01</w:t>
            </w:r>
          </w:p>
        </w:tc>
      </w:tr>
      <w:tr w14:paraId="013D40E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0B002DC" w14:textId="77777777">
            <w:pPr>
              <w:pStyle w:val="Tab3FirstColNonGras"/>
              <w:rPr>
                <w:lang w:val="fr-FR"/>
              </w:rPr>
            </w:pPr>
            <w:r>
              <w:rPr>
                <w:lang w:val="fr-FR"/>
              </w:rPr>
              <w:t>MIZUHO FINANCIAL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B6A5A02"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A0BDF62" w14:textId="77777777">
            <w:pPr>
              <w:pStyle w:val="Tab3MiddleColNonGras"/>
              <w:rPr>
                <w:lang w:val="fr-FR"/>
              </w:rPr>
            </w:pPr>
            <w:r>
              <w:rPr>
                <w:lang w:val="fr-FR"/>
              </w:rPr>
              <w:t>10 200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4859894" w14:textId="77777777">
            <w:pPr>
              <w:pStyle w:val="Tab3MiddleColNonGras"/>
              <w:rPr>
                <w:lang w:val="fr-FR"/>
              </w:rPr>
            </w:pPr>
            <w:r>
              <w:rPr>
                <w:lang w:val="fr-FR"/>
              </w:rPr>
              <w:t>281 966,17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43B47C5" w14:textId="77777777">
            <w:pPr>
              <w:pStyle w:val="Tab3LastColNonGras"/>
              <w:rPr>
                <w:lang w:val="fr-FR"/>
              </w:rPr>
            </w:pPr>
            <w:r>
              <w:rPr>
                <w:lang w:val="fr-FR"/>
              </w:rPr>
              <w:t>0,08</w:t>
            </w:r>
          </w:p>
        </w:tc>
      </w:tr>
      <w:tr w14:paraId="24B8BCE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5EF02A8" w14:textId="77777777">
            <w:pPr>
              <w:pStyle w:val="Tab3FirstColNonGras"/>
              <w:rPr>
                <w:lang w:val="fr-FR"/>
              </w:rPr>
            </w:pPr>
            <w:r>
              <w:rPr>
                <w:lang w:val="fr-FR"/>
              </w:rPr>
              <w:t>NATIONAL AUSTRALIA BANK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D45B7BB"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6A657F6" w14:textId="77777777">
            <w:pPr>
              <w:pStyle w:val="Tab3MiddleColNonGras"/>
              <w:rPr>
                <w:lang w:val="fr-FR"/>
              </w:rPr>
            </w:pPr>
            <w:r>
              <w:rPr>
                <w:lang w:val="fr-FR"/>
              </w:rPr>
              <w:t>14 704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689646A" w14:textId="77777777">
            <w:pPr>
              <w:pStyle w:val="Tab3MiddleColNonGras"/>
              <w:rPr>
                <w:lang w:val="fr-FR"/>
              </w:rPr>
            </w:pPr>
            <w:r>
              <w:rPr>
                <w:lang w:val="fr-FR"/>
              </w:rPr>
              <w:t>379 289,86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FDE0D80" w14:textId="77777777">
            <w:pPr>
              <w:pStyle w:val="Tab3LastColNonGras"/>
              <w:rPr>
                <w:lang w:val="fr-FR"/>
              </w:rPr>
            </w:pPr>
            <w:r>
              <w:rPr>
                <w:lang w:val="fr-FR"/>
              </w:rPr>
              <w:t>0,11</w:t>
            </w:r>
          </w:p>
        </w:tc>
      </w:tr>
      <w:tr w14:paraId="475F50A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E345FE8" w14:textId="77777777">
            <w:pPr>
              <w:pStyle w:val="Tab3FirstColNonGras"/>
              <w:rPr>
                <w:lang w:val="fr-FR"/>
              </w:rPr>
            </w:pPr>
            <w:r>
              <w:rPr>
                <w:lang w:val="fr-FR"/>
              </w:rPr>
              <w:t>NATWEST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A502DA3"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0F37E57" w14:textId="77777777">
            <w:pPr>
              <w:pStyle w:val="Tab3MiddleColNonGras"/>
              <w:rPr>
                <w:lang w:val="fr-FR"/>
              </w:rPr>
            </w:pPr>
            <w:r>
              <w:rPr>
                <w:lang w:val="fr-FR"/>
              </w:rPr>
              <w:t>37 581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84284F4" w14:textId="77777777">
            <w:pPr>
              <w:pStyle w:val="Tab3MiddleColNonGras"/>
              <w:rPr>
                <w:lang w:val="fr-FR"/>
              </w:rPr>
            </w:pPr>
            <w:r>
              <w:rPr>
                <w:lang w:val="fr-FR"/>
              </w:rPr>
              <w:t>263 368,35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AF36B11" w14:textId="77777777">
            <w:pPr>
              <w:pStyle w:val="Tab3LastColNonGras"/>
              <w:rPr>
                <w:lang w:val="fr-FR"/>
              </w:rPr>
            </w:pPr>
            <w:r>
              <w:rPr>
                <w:lang w:val="fr-FR"/>
              </w:rPr>
              <w:t>0,08</w:t>
            </w:r>
          </w:p>
        </w:tc>
      </w:tr>
      <w:tr w14:paraId="1CD85D9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EA50815" w14:textId="77777777">
            <w:pPr>
              <w:pStyle w:val="Tab3FirstColNonGras"/>
              <w:rPr>
                <w:lang w:val="fr-FR"/>
              </w:rPr>
            </w:pPr>
            <w:r>
              <w:rPr>
                <w:lang w:val="fr-FR"/>
              </w:rPr>
              <w:t>PNC FINANCIAL SERVICES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C33CE1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A75441C" w14:textId="77777777">
            <w:pPr>
              <w:pStyle w:val="Tab3MiddleColNonGras"/>
              <w:rPr>
                <w:lang w:val="fr-FR"/>
              </w:rPr>
            </w:pPr>
            <w:r>
              <w:rPr>
                <w:lang w:val="fr-FR"/>
              </w:rPr>
              <w:t>2 068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FC2A928" w14:textId="77777777">
            <w:pPr>
              <w:pStyle w:val="Tab3MiddleColNonGras"/>
              <w:rPr>
                <w:lang w:val="fr-FR"/>
              </w:rPr>
            </w:pPr>
            <w:r>
              <w:rPr>
                <w:lang w:val="fr-FR"/>
              </w:rPr>
              <w:t>385 516,56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9E04C35" w14:textId="77777777">
            <w:pPr>
              <w:pStyle w:val="Tab3LastColNonGras"/>
              <w:rPr>
                <w:lang w:val="fr-FR"/>
              </w:rPr>
            </w:pPr>
            <w:r>
              <w:rPr>
                <w:lang w:val="fr-FR"/>
              </w:rPr>
              <w:t>0,11</w:t>
            </w:r>
          </w:p>
        </w:tc>
      </w:tr>
      <w:tr w14:paraId="5F2E8FB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38AC5D1" w14:textId="77777777">
            <w:pPr>
              <w:pStyle w:val="Tab3FirstColNonGras"/>
              <w:rPr>
                <w:lang w:val="fr-FR"/>
              </w:rPr>
            </w:pPr>
            <w:r>
              <w:rPr>
                <w:lang w:val="fr-FR"/>
              </w:rPr>
              <w:t>REGIONS FINANCIAL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DD3AE9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CDE3551" w14:textId="77777777">
            <w:pPr>
              <w:pStyle w:val="Tab3MiddleColNonGras"/>
              <w:rPr>
                <w:lang w:val="fr-FR"/>
              </w:rPr>
            </w:pPr>
            <w:r>
              <w:rPr>
                <w:lang w:val="fr-FR"/>
              </w:rPr>
              <w:t>5 497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3B04982" w14:textId="77777777">
            <w:pPr>
              <w:pStyle w:val="Tab3MiddleColNonGras"/>
              <w:rPr>
                <w:lang w:val="fr-FR"/>
              </w:rPr>
            </w:pPr>
            <w:r>
              <w:rPr>
                <w:lang w:val="fr-FR"/>
              </w:rPr>
              <w:t>129 289,44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D00B50D" w14:textId="77777777">
            <w:pPr>
              <w:pStyle w:val="Tab3LastColNonGras"/>
              <w:rPr>
                <w:lang w:val="fr-FR"/>
              </w:rPr>
            </w:pPr>
            <w:r>
              <w:rPr>
                <w:lang w:val="fr-FR"/>
              </w:rPr>
              <w:t>0,04</w:t>
            </w:r>
          </w:p>
        </w:tc>
      </w:tr>
      <w:tr w14:paraId="078D9FC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84CFB3D" w14:textId="77777777">
            <w:pPr>
              <w:pStyle w:val="Tab3FirstColNonGras"/>
              <w:rPr>
                <w:lang w:val="fr-FR"/>
              </w:rPr>
            </w:pPr>
            <w:r>
              <w:rPr>
                <w:lang w:val="fr-FR"/>
              </w:rPr>
              <w:t>ROYAL BK OF CANADA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C4F01C4"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E03954B" w14:textId="77777777">
            <w:pPr>
              <w:pStyle w:val="Tab3MiddleColNonGras"/>
              <w:rPr>
                <w:lang w:val="fr-FR"/>
              </w:rPr>
            </w:pPr>
            <w:r>
              <w:rPr>
                <w:lang w:val="fr-FR"/>
              </w:rPr>
              <w:t>6 586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A8336F6" w14:textId="77777777">
            <w:pPr>
              <w:pStyle w:val="Tab3MiddleColNonGras"/>
              <w:rPr>
                <w:lang w:val="fr-FR"/>
              </w:rPr>
            </w:pPr>
            <w:r>
              <w:rPr>
                <w:lang w:val="fr-FR"/>
              </w:rPr>
              <w:t>866 226,49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6E0579B" w14:textId="77777777">
            <w:pPr>
              <w:pStyle w:val="Tab3LastColNonGras"/>
              <w:rPr>
                <w:lang w:val="fr-FR"/>
              </w:rPr>
            </w:pPr>
            <w:r>
              <w:rPr>
                <w:lang w:val="fr-FR"/>
              </w:rPr>
              <w:t>0,25</w:t>
            </w:r>
          </w:p>
        </w:tc>
      </w:tr>
      <w:tr w14:paraId="2C5E8D2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F37D0FD" w14:textId="77777777">
            <w:pPr>
              <w:pStyle w:val="Tab3FirstColNonGras"/>
              <w:rPr>
                <w:lang w:val="fr-FR"/>
              </w:rPr>
            </w:pPr>
            <w:r>
              <w:rPr>
                <w:lang w:val="fr-FR"/>
              </w:rPr>
              <w:t>SOCIETE GENERALE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B59541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CFD1DC7" w14:textId="77777777">
            <w:pPr>
              <w:pStyle w:val="Tab3MiddleColNonGras"/>
              <w:rPr>
                <w:lang w:val="fr-FR"/>
              </w:rPr>
            </w:pPr>
            <w:r>
              <w:rPr>
                <w:lang w:val="fr-FR"/>
              </w:rPr>
              <w:t>2 978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56C2028" w14:textId="77777777">
            <w:pPr>
              <w:pStyle w:val="Tab3MiddleColNonGras"/>
              <w:rPr>
                <w:lang w:val="fr-FR"/>
              </w:rPr>
            </w:pPr>
            <w:r>
              <w:rPr>
                <w:lang w:val="fr-FR"/>
              </w:rPr>
              <w:t>169 717,46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01A4F3D" w14:textId="77777777">
            <w:pPr>
              <w:pStyle w:val="Tab3LastColNonGras"/>
              <w:rPr>
                <w:lang w:val="fr-FR"/>
              </w:rPr>
            </w:pPr>
            <w:r>
              <w:rPr>
                <w:lang w:val="fr-FR"/>
              </w:rPr>
              <w:t>0,05</w:t>
            </w:r>
          </w:p>
        </w:tc>
      </w:tr>
      <w:tr w14:paraId="1523876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25B1C7D" w14:textId="77777777">
            <w:pPr>
              <w:pStyle w:val="Tab3FirstColNonGras"/>
              <w:rPr>
                <w:lang w:val="fr-FR"/>
              </w:rPr>
            </w:pPr>
            <w:r>
              <w:rPr>
                <w:lang w:val="fr-FR"/>
              </w:rPr>
              <w:t>SOFTBANK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C60CE23"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8D0EFAD" w14:textId="77777777">
            <w:pPr>
              <w:pStyle w:val="Tab3MiddleColNonGras"/>
              <w:rPr>
                <w:lang w:val="fr-FR"/>
              </w:rPr>
            </w:pPr>
            <w:r>
              <w:rPr>
                <w:lang w:val="fr-FR"/>
              </w:rPr>
              <w:t>139 400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287AD52" w14:textId="77777777">
            <w:pPr>
              <w:pStyle w:val="Tab3MiddleColNonGras"/>
              <w:rPr>
                <w:lang w:val="fr-FR"/>
              </w:rPr>
            </w:pPr>
            <w:r>
              <w:rPr>
                <w:lang w:val="fr-FR"/>
              </w:rPr>
              <w:t>215 211,34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A10E4BB" w14:textId="77777777">
            <w:pPr>
              <w:pStyle w:val="Tab3LastColNonGras"/>
              <w:rPr>
                <w:lang w:val="fr-FR"/>
              </w:rPr>
            </w:pPr>
            <w:r>
              <w:rPr>
                <w:lang w:val="fr-FR"/>
              </w:rPr>
              <w:t>0,06</w:t>
            </w:r>
          </w:p>
        </w:tc>
      </w:tr>
      <w:tr w14:paraId="4C44FB0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F0ED12A" w14:textId="77777777">
            <w:pPr>
              <w:pStyle w:val="Tab3FirstColNonGras"/>
              <w:rPr>
                <w:lang w:val="fr-FR"/>
              </w:rPr>
            </w:pPr>
            <w:r>
              <w:rPr>
                <w:lang w:val="fr-FR"/>
              </w:rPr>
              <w:t>STANDARD CHARTERED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67B0210"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80AF66D" w14:textId="77777777">
            <w:pPr>
              <w:pStyle w:val="Tab3MiddleColNonGras"/>
              <w:rPr>
                <w:lang w:val="fr-FR"/>
              </w:rPr>
            </w:pPr>
            <w:r>
              <w:rPr>
                <w:lang w:val="fr-FR"/>
              </w:rPr>
              <w:t>9 142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79CB2E6" w14:textId="77777777">
            <w:pPr>
              <w:pStyle w:val="Tab3MiddleColNonGras"/>
              <w:rPr>
                <w:lang w:val="fr-FR"/>
              </w:rPr>
            </w:pPr>
            <w:r>
              <w:rPr>
                <w:lang w:val="fr-FR"/>
              </w:rPr>
              <w:t>151 210,87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18812C6" w14:textId="77777777">
            <w:pPr>
              <w:pStyle w:val="Tab3LastColNonGras"/>
              <w:rPr>
                <w:lang w:val="fr-FR"/>
              </w:rPr>
            </w:pPr>
            <w:r>
              <w:rPr>
                <w:lang w:val="fr-FR"/>
              </w:rPr>
              <w:t>0,04</w:t>
            </w:r>
          </w:p>
        </w:tc>
      </w:tr>
      <w:tr w14:paraId="2990017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D5E8E11" w14:textId="77777777">
            <w:pPr>
              <w:pStyle w:val="Tab3FirstColNonGras"/>
              <w:rPr>
                <w:lang w:val="fr-FR"/>
              </w:rPr>
            </w:pPr>
            <w:r>
              <w:rPr>
                <w:lang w:val="fr-FR"/>
              </w:rPr>
              <w:t>SVENSKA HANDELSBANKEN-A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F7CCBD5"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1A4AA47" w14:textId="77777777">
            <w:pPr>
              <w:pStyle w:val="Tab3MiddleColNonGras"/>
              <w:rPr>
                <w:lang w:val="fr-FR"/>
              </w:rPr>
            </w:pPr>
            <w:r>
              <w:rPr>
                <w:lang w:val="fr-FR"/>
              </w:rPr>
              <w:t>6 528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5256864" w14:textId="77777777">
            <w:pPr>
              <w:pStyle w:val="Tab3MiddleColNonGras"/>
              <w:rPr>
                <w:lang w:val="fr-FR"/>
              </w:rPr>
            </w:pPr>
            <w:r>
              <w:rPr>
                <w:lang w:val="fr-FR"/>
              </w:rPr>
              <w:t>86 614,03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722B53F" w14:textId="77777777">
            <w:pPr>
              <w:pStyle w:val="Tab3LastColNonGras"/>
              <w:rPr>
                <w:lang w:val="fr-FR"/>
              </w:rPr>
            </w:pPr>
            <w:r>
              <w:rPr>
                <w:lang w:val="fr-FR"/>
              </w:rPr>
              <w:t>0,02</w:t>
            </w:r>
          </w:p>
        </w:tc>
      </w:tr>
      <w:tr w14:paraId="35F2784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494E1F6" w14:textId="77777777">
            <w:pPr>
              <w:pStyle w:val="Tab3FirstColNonGras"/>
              <w:rPr>
                <w:lang w:val="fr-FR"/>
              </w:rPr>
            </w:pPr>
            <w:r>
              <w:rPr>
                <w:lang w:val="fr-FR"/>
              </w:rPr>
              <w:t>SWEDBANK AB - A SHARES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EAD68E5"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D9DDA74" w14:textId="77777777">
            <w:pPr>
              <w:pStyle w:val="Tab3MiddleColNonGras"/>
              <w:rPr>
                <w:lang w:val="fr-FR"/>
              </w:rPr>
            </w:pPr>
            <w:r>
              <w:rPr>
                <w:lang w:val="fr-FR"/>
              </w:rPr>
              <w:t>3 657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BD275FF" w14:textId="77777777">
            <w:pPr>
              <w:pStyle w:val="Tab3MiddleColNonGras"/>
              <w:rPr>
                <w:lang w:val="fr-FR"/>
              </w:rPr>
            </w:pPr>
            <w:r>
              <w:rPr>
                <w:lang w:val="fr-FR"/>
              </w:rPr>
              <w:t>96 121,81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4059A05" w14:textId="77777777">
            <w:pPr>
              <w:pStyle w:val="Tab3LastColNonGras"/>
              <w:rPr>
                <w:lang w:val="fr-FR"/>
              </w:rPr>
            </w:pPr>
            <w:r>
              <w:rPr>
                <w:lang w:val="fr-FR"/>
              </w:rPr>
              <w:t>0,03</w:t>
            </w:r>
          </w:p>
        </w:tc>
      </w:tr>
      <w:tr w14:paraId="6A44C3A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1FBFF33" w14:textId="77777777">
            <w:pPr>
              <w:pStyle w:val="Tab3FirstColNonGras"/>
              <w:rPr>
                <w:lang w:val="fr-FR"/>
              </w:rPr>
            </w:pPr>
            <w:r>
              <w:rPr>
                <w:lang w:val="fr-FR"/>
              </w:rPr>
              <w:t>TORONTO DOMINIUM BANK</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B7A1A1A"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648115E" w14:textId="77777777">
            <w:pPr>
              <w:pStyle w:val="Tab3MiddleColNonGras"/>
              <w:rPr>
                <w:lang w:val="fr-FR"/>
              </w:rPr>
            </w:pPr>
            <w:r>
              <w:rPr>
                <w:lang w:val="fr-FR"/>
              </w:rPr>
              <w:t>7 889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5CF0649" w14:textId="77777777">
            <w:pPr>
              <w:pStyle w:val="Tab3MiddleColNonGras"/>
              <w:rPr>
                <w:lang w:val="fr-FR"/>
              </w:rPr>
            </w:pPr>
            <w:r>
              <w:rPr>
                <w:lang w:val="fr-FR"/>
              </w:rPr>
              <w:t>579 074,10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230EEC5" w14:textId="77777777">
            <w:pPr>
              <w:pStyle w:val="Tab3LastColNonGras"/>
              <w:rPr>
                <w:lang w:val="fr-FR"/>
              </w:rPr>
            </w:pPr>
            <w:r>
              <w:rPr>
                <w:lang w:val="fr-FR"/>
              </w:rPr>
              <w:t>0,17</w:t>
            </w:r>
          </w:p>
        </w:tc>
      </w:tr>
      <w:tr w14:paraId="46C27AC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B12871A" w14:textId="77777777">
            <w:pPr>
              <w:pStyle w:val="Tab3FirstColNonGras"/>
              <w:rPr>
                <w:lang w:val="fr-FR"/>
              </w:rPr>
            </w:pPr>
            <w:r>
              <w:rPr>
                <w:lang w:val="fr-FR"/>
              </w:rPr>
              <w:t>TRUIST FINANCIAL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0D5DB7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7506693" w14:textId="77777777">
            <w:pPr>
              <w:pStyle w:val="Tab3MiddleColNonGras"/>
              <w:rPr>
                <w:lang w:val="fr-FR"/>
              </w:rPr>
            </w:pPr>
            <w:r>
              <w:rPr>
                <w:lang w:val="fr-FR"/>
              </w:rPr>
              <w:t>6 904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27BFE28" w14:textId="77777777">
            <w:pPr>
              <w:pStyle w:val="Tab3MiddleColNonGras"/>
              <w:rPr>
                <w:lang w:val="fr-FR"/>
              </w:rPr>
            </w:pPr>
            <w:r>
              <w:rPr>
                <w:lang w:val="fr-FR"/>
              </w:rPr>
              <w:t>296 802,96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9D1F576" w14:textId="77777777">
            <w:pPr>
              <w:pStyle w:val="Tab3LastColNonGras"/>
              <w:rPr>
                <w:lang w:val="fr-FR"/>
              </w:rPr>
            </w:pPr>
            <w:r>
              <w:rPr>
                <w:lang w:val="fr-FR"/>
              </w:rPr>
              <w:t>0,09</w:t>
            </w:r>
          </w:p>
        </w:tc>
      </w:tr>
      <w:tr w14:paraId="3E9D2C2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DEDB02A" w14:textId="77777777">
            <w:pPr>
              <w:pStyle w:val="Tab3FirstColNonGras"/>
              <w:rPr>
                <w:lang w:val="fr-FR"/>
              </w:rPr>
            </w:pPr>
            <w:r>
              <w:rPr>
                <w:lang w:val="fr-FR"/>
              </w:rPr>
              <w:t>UBS GROUP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28BFCC0"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F6BFBC9" w14:textId="77777777">
            <w:pPr>
              <w:pStyle w:val="Tab3MiddleColNonGras"/>
              <w:rPr>
                <w:lang w:val="fr-FR"/>
              </w:rPr>
            </w:pPr>
            <w:r>
              <w:rPr>
                <w:lang w:val="fr-FR"/>
              </w:rPr>
              <w:t>15 827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CA7240A" w14:textId="77777777">
            <w:pPr>
              <w:pStyle w:val="Tab3MiddleColNonGras"/>
              <w:rPr>
                <w:lang w:val="fr-FR"/>
              </w:rPr>
            </w:pPr>
            <w:r>
              <w:rPr>
                <w:lang w:val="fr-FR"/>
              </w:rPr>
              <w:t>533 882,77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31E5B32" w14:textId="77777777">
            <w:pPr>
              <w:pStyle w:val="Tab3LastColNonGras"/>
              <w:rPr>
                <w:lang w:val="fr-FR"/>
              </w:rPr>
            </w:pPr>
            <w:r>
              <w:rPr>
                <w:lang w:val="fr-FR"/>
              </w:rPr>
              <w:t>0,15</w:t>
            </w:r>
          </w:p>
        </w:tc>
      </w:tr>
      <w:tr w14:paraId="6135C84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EB4E88F" w14:textId="77777777">
            <w:pPr>
              <w:pStyle w:val="Tab3FirstColNonGras"/>
              <w:rPr>
                <w:lang w:val="fr-FR"/>
              </w:rPr>
            </w:pPr>
            <w:r>
              <w:rPr>
                <w:lang w:val="fr-FR"/>
              </w:rPr>
              <w:t>UNICREDIT SPA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D4A8C7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FFC8FBE" w14:textId="77777777">
            <w:pPr>
              <w:pStyle w:val="Tab3MiddleColNonGras"/>
              <w:rPr>
                <w:lang w:val="fr-FR"/>
              </w:rPr>
            </w:pPr>
            <w:r>
              <w:rPr>
                <w:lang w:val="fr-FR"/>
              </w:rPr>
              <w:t>6 344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723616F" w14:textId="77777777">
            <w:pPr>
              <w:pStyle w:val="Tab3MiddleColNonGras"/>
              <w:rPr>
                <w:lang w:val="fr-FR"/>
              </w:rPr>
            </w:pPr>
            <w:r>
              <w:rPr>
                <w:lang w:val="fr-FR"/>
              </w:rPr>
              <w:t>423 803,33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35DD15E" w14:textId="77777777">
            <w:pPr>
              <w:pStyle w:val="Tab3LastColNonGras"/>
              <w:rPr>
                <w:lang w:val="fr-FR"/>
              </w:rPr>
            </w:pPr>
            <w:r>
              <w:rPr>
                <w:lang w:val="fr-FR"/>
              </w:rPr>
              <w:t>0,12</w:t>
            </w:r>
          </w:p>
        </w:tc>
      </w:tr>
      <w:tr w14:paraId="26B5025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7524B46" w14:textId="77777777">
            <w:pPr>
              <w:pStyle w:val="Tab3FirstColNonGras"/>
              <w:rPr>
                <w:lang w:val="fr-FR"/>
              </w:rPr>
            </w:pPr>
            <w:r>
              <w:rPr>
                <w:lang w:val="fr-FR"/>
              </w:rPr>
              <w:t>US BANCORP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B1EAEB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320BC94" w14:textId="77777777">
            <w:pPr>
              <w:pStyle w:val="Tab3MiddleColNonGras"/>
              <w:rPr>
                <w:lang w:val="fr-FR"/>
              </w:rPr>
            </w:pPr>
            <w:r>
              <w:rPr>
                <w:lang w:val="fr-FR"/>
              </w:rPr>
              <w:t>7 393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9EF5268" w14:textId="77777777">
            <w:pPr>
              <w:pStyle w:val="Tab3MiddleColNonGras"/>
              <w:rPr>
                <w:lang w:val="fr-FR"/>
              </w:rPr>
            </w:pPr>
            <w:r>
              <w:rPr>
                <w:lang w:val="fr-FR"/>
              </w:rPr>
              <w:t>334 533,25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D39350D" w14:textId="77777777">
            <w:pPr>
              <w:pStyle w:val="Tab3LastColNonGras"/>
              <w:rPr>
                <w:lang w:val="fr-FR"/>
              </w:rPr>
            </w:pPr>
            <w:r>
              <w:rPr>
                <w:lang w:val="fr-FR"/>
              </w:rPr>
              <w:t>0,10</w:t>
            </w:r>
          </w:p>
        </w:tc>
      </w:tr>
      <w:tr w14:paraId="3C2DC42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926F263" w14:textId="77777777">
            <w:pPr>
              <w:pStyle w:val="Tab3FirstColNonGras"/>
              <w:rPr>
                <w:lang w:val="fr-FR"/>
              </w:rPr>
            </w:pPr>
            <w:r>
              <w:rPr>
                <w:lang w:val="fr-FR"/>
              </w:rPr>
              <w:t>WELLS FARGO &amp;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62D775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9480100" w14:textId="77777777">
            <w:pPr>
              <w:pStyle w:val="Tab3MiddleColNonGras"/>
              <w:rPr>
                <w:lang w:val="fr-FR"/>
              </w:rPr>
            </w:pPr>
            <w:r>
              <w:rPr>
                <w:lang w:val="fr-FR"/>
              </w:rPr>
              <w:t>15 814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A5B1FEA" w14:textId="77777777">
            <w:pPr>
              <w:pStyle w:val="Tab3MiddleColNonGras"/>
              <w:rPr>
                <w:lang w:val="fr-FR"/>
              </w:rPr>
            </w:pPr>
            <w:r>
              <w:rPr>
                <w:lang w:val="fr-FR"/>
              </w:rPr>
              <w:t>1 267 017,68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4E40F5B" w14:textId="77777777">
            <w:pPr>
              <w:pStyle w:val="Tab3LastColNonGras"/>
              <w:rPr>
                <w:lang w:val="fr-FR"/>
              </w:rPr>
            </w:pPr>
            <w:r>
              <w:rPr>
                <w:lang w:val="fr-FR"/>
              </w:rPr>
              <w:t>0,36</w:t>
            </w:r>
          </w:p>
        </w:tc>
      </w:tr>
      <w:tr w14:paraId="0261FB8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2CA67C1" w14:textId="77777777">
            <w:pPr>
              <w:pStyle w:val="Tab3FirstColNonGras"/>
              <w:rPr>
                <w:lang w:val="fr-FR"/>
              </w:rPr>
            </w:pPr>
            <w:r>
              <w:rPr>
                <w:lang w:val="fr-FR"/>
              </w:rPr>
              <w:t>WESTPAC BANKING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9FB264F"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2F9A4AD" w14:textId="77777777">
            <w:pPr>
              <w:pStyle w:val="Tab3MiddleColNonGras"/>
              <w:rPr>
                <w:lang w:val="fr-FR"/>
              </w:rPr>
            </w:pPr>
            <w:r>
              <w:rPr>
                <w:lang w:val="fr-FR"/>
              </w:rPr>
              <w:t>16 929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E2F63FB" w14:textId="77777777">
            <w:pPr>
              <w:pStyle w:val="Tab3MiddleColNonGras"/>
              <w:rPr>
                <w:lang w:val="fr-FR"/>
              </w:rPr>
            </w:pPr>
            <w:r>
              <w:rPr>
                <w:lang w:val="fr-FR"/>
              </w:rPr>
              <w:t>375 663,42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B1B5393" w14:textId="77777777">
            <w:pPr>
              <w:pStyle w:val="Tab3LastColNonGras"/>
              <w:rPr>
                <w:lang w:val="fr-FR"/>
              </w:rPr>
            </w:pPr>
            <w:r>
              <w:rPr>
                <w:lang w:val="fr-FR"/>
              </w:rPr>
              <w:t>0,11</w:t>
            </w:r>
          </w:p>
        </w:tc>
      </w:tr>
      <w:tr w14:paraId="7D46D88E"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03FA5A2F" w14:textId="77777777">
            <w:pPr>
              <w:pStyle w:val="Tab1FirstColGras"/>
              <w:rPr>
                <w:lang w:val="fr-FR"/>
              </w:rPr>
            </w:pPr>
            <w:r>
              <w:rPr>
                <w:lang w:val="fr-FR"/>
              </w:rPr>
              <w:t>Biens de consommation durables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36627A2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7AF4A955"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171112E0" w14:textId="77777777">
            <w:pPr>
              <w:pStyle w:val="Tab1MiddleColGras"/>
              <w:rPr>
                <w:lang w:val="fr-FR"/>
              </w:rPr>
            </w:pPr>
            <w:r>
              <w:rPr>
                <w:lang w:val="fr-FR"/>
              </w:rPr>
              <w:t>2 404 289,67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50DCB8F" w14:textId="77777777">
            <w:pPr>
              <w:pStyle w:val="Tab1LastColGras"/>
              <w:rPr>
                <w:lang w:val="fr-FR"/>
              </w:rPr>
            </w:pPr>
            <w:r>
              <w:rPr>
                <w:lang w:val="fr-FR"/>
              </w:rPr>
              <w:t>0,69</w:t>
            </w:r>
          </w:p>
        </w:tc>
      </w:tr>
      <w:tr w14:paraId="7DD68A0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1EEB4DA" w14:textId="77777777">
            <w:pPr>
              <w:pStyle w:val="Tab3FirstColNonGras"/>
              <w:rPr>
                <w:lang w:val="fr-FR"/>
              </w:rPr>
            </w:pPr>
            <w:r>
              <w:rPr>
                <w:lang w:val="fr-FR"/>
              </w:rPr>
              <w:t>BARRATT REDROW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D9CCD02"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371C04F" w14:textId="77777777">
            <w:pPr>
              <w:pStyle w:val="Tab3MiddleColNonGras"/>
              <w:rPr>
                <w:lang w:val="fr-FR"/>
              </w:rPr>
            </w:pPr>
            <w:r>
              <w:rPr>
                <w:lang w:val="fr-FR"/>
              </w:rPr>
              <w:t>3 610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DEB76D6" w14:textId="77777777">
            <w:pPr>
              <w:pStyle w:val="Tab3MiddleColNonGras"/>
              <w:rPr>
                <w:lang w:val="fr-FR"/>
              </w:rPr>
            </w:pPr>
            <w:r>
              <w:rPr>
                <w:lang w:val="fr-FR"/>
              </w:rPr>
              <w:t>22 553,36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D3AA4F0" w14:textId="77777777">
            <w:pPr>
              <w:pStyle w:val="Tab3LastColNonGras"/>
              <w:rPr>
                <w:lang w:val="fr-FR"/>
              </w:rPr>
            </w:pPr>
            <w:r>
              <w:rPr>
                <w:lang w:val="fr-FR"/>
              </w:rPr>
              <w:t>0,01</w:t>
            </w:r>
          </w:p>
        </w:tc>
      </w:tr>
      <w:tr w14:paraId="098D7C8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A7A8F68" w14:textId="77777777">
            <w:pPr>
              <w:pStyle w:val="Tab3FirstColNonGras"/>
              <w:rPr>
                <w:lang w:val="fr-FR"/>
              </w:rPr>
            </w:pPr>
            <w:r>
              <w:rPr>
                <w:lang w:val="fr-FR"/>
              </w:rPr>
              <w:t>GARMIN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ADC404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E9BBAAB" w14:textId="77777777">
            <w:pPr>
              <w:pStyle w:val="Tab3MiddleColNonGras"/>
              <w:rPr>
                <w:lang w:val="fr-FR"/>
              </w:rPr>
            </w:pPr>
            <w:r>
              <w:rPr>
                <w:lang w:val="fr-FR"/>
              </w:rPr>
              <w:t>1 562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754ECCB" w14:textId="77777777">
            <w:pPr>
              <w:pStyle w:val="Tab3MiddleColNonGras"/>
              <w:rPr>
                <w:lang w:val="fr-FR"/>
              </w:rPr>
            </w:pPr>
            <w:r>
              <w:rPr>
                <w:lang w:val="fr-FR"/>
              </w:rPr>
              <w:t>326 020,64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00CE3D8" w14:textId="77777777">
            <w:pPr>
              <w:pStyle w:val="Tab3LastColNonGras"/>
              <w:rPr>
                <w:lang w:val="fr-FR"/>
              </w:rPr>
            </w:pPr>
            <w:r>
              <w:rPr>
                <w:lang w:val="fr-FR"/>
              </w:rPr>
              <w:t>0,09</w:t>
            </w:r>
          </w:p>
        </w:tc>
      </w:tr>
      <w:tr w14:paraId="249F26C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3EE530F" w14:textId="77777777">
            <w:pPr>
              <w:pStyle w:val="Tab3FirstColNonGras"/>
              <w:rPr>
                <w:lang w:val="fr-FR"/>
              </w:rPr>
            </w:pPr>
            <w:r>
              <w:rPr>
                <w:lang w:val="fr-FR"/>
              </w:rPr>
              <w:t>LENNAR CORP-A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8F520B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EF3D719" w14:textId="77777777">
            <w:pPr>
              <w:pStyle w:val="Tab3MiddleColNonGras"/>
              <w:rPr>
                <w:lang w:val="fr-FR"/>
              </w:rPr>
            </w:pPr>
            <w:r>
              <w:rPr>
                <w:lang w:val="fr-FR"/>
              </w:rPr>
              <w:t>510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B8FB591" w14:textId="77777777">
            <w:pPr>
              <w:pStyle w:val="Tab3MiddleColNonGras"/>
              <w:rPr>
                <w:lang w:val="fr-FR"/>
              </w:rPr>
            </w:pPr>
            <w:r>
              <w:rPr>
                <w:lang w:val="fr-FR"/>
              </w:rPr>
              <w:t>56 411,10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3357390" w14:textId="77777777">
            <w:pPr>
              <w:pStyle w:val="Tab3LastColNonGras"/>
              <w:rPr>
                <w:lang w:val="fr-FR"/>
              </w:rPr>
            </w:pPr>
            <w:r>
              <w:rPr>
                <w:lang w:val="fr-FR"/>
              </w:rPr>
              <w:t>0,02</w:t>
            </w:r>
          </w:p>
        </w:tc>
      </w:tr>
      <w:tr w14:paraId="7C41CB8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89F03AD" w14:textId="77777777">
            <w:pPr>
              <w:pStyle w:val="Tab3FirstColNonGras"/>
              <w:rPr>
                <w:lang w:val="fr-FR"/>
              </w:rPr>
            </w:pPr>
            <w:r>
              <w:rPr>
                <w:lang w:val="fr-FR"/>
              </w:rPr>
              <w:t>MAKITA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75CA87D"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8B8966F" w14:textId="77777777">
            <w:pPr>
              <w:pStyle w:val="Tab3MiddleColNonGras"/>
              <w:rPr>
                <w:lang w:val="fr-FR"/>
              </w:rPr>
            </w:pPr>
            <w:r>
              <w:rPr>
                <w:lang w:val="fr-FR"/>
              </w:rPr>
              <w:t>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C6FDDB0" w14:textId="77777777">
            <w:pPr>
              <w:pStyle w:val="Tab3MiddleColNonGras"/>
              <w:rPr>
                <w:lang w:val="fr-FR"/>
              </w:rPr>
            </w:pPr>
            <w:r>
              <w:rPr>
                <w:lang w:val="fr-FR"/>
              </w:rPr>
              <w:t>18 497,01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A98A012" w14:textId="77777777">
            <w:pPr>
              <w:pStyle w:val="Tab3LastColNonGras"/>
              <w:rPr>
                <w:lang w:val="fr-FR"/>
              </w:rPr>
            </w:pPr>
            <w:r>
              <w:rPr>
                <w:lang w:val="fr-FR"/>
              </w:rPr>
              <w:t>0,01</w:t>
            </w:r>
          </w:p>
        </w:tc>
      </w:tr>
      <w:tr w14:paraId="521B993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32AA11D" w14:textId="77777777">
            <w:pPr>
              <w:pStyle w:val="Tab3FirstColNonGras"/>
              <w:rPr>
                <w:lang w:val="fr-FR"/>
              </w:rPr>
            </w:pPr>
            <w:r>
              <w:rPr>
                <w:lang w:val="fr-FR"/>
              </w:rPr>
              <w:t>NVR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57394B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E1C7598" w14:textId="77777777">
            <w:pPr>
              <w:pStyle w:val="Tab3MiddleColNonGras"/>
              <w:rPr>
                <w:lang w:val="fr-FR"/>
              </w:rPr>
            </w:pPr>
            <w:r>
              <w:rPr>
                <w:lang w:val="fr-FR"/>
              </w:rPr>
              <w:t>28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4D7F52C" w14:textId="77777777">
            <w:pPr>
              <w:pStyle w:val="Tab3MiddleColNonGras"/>
              <w:rPr>
                <w:lang w:val="fr-FR"/>
              </w:rPr>
            </w:pPr>
            <w:r>
              <w:rPr>
                <w:lang w:val="fr-FR"/>
              </w:rPr>
              <w:t>206 798,48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BE59897" w14:textId="77777777">
            <w:pPr>
              <w:pStyle w:val="Tab3LastColNonGras"/>
              <w:rPr>
                <w:lang w:val="fr-FR"/>
              </w:rPr>
            </w:pPr>
            <w:r>
              <w:rPr>
                <w:lang w:val="fr-FR"/>
              </w:rPr>
              <w:t>0,06</w:t>
            </w:r>
          </w:p>
        </w:tc>
      </w:tr>
      <w:tr w14:paraId="68A2E71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7D1D44F" w14:textId="77777777">
            <w:pPr>
              <w:pStyle w:val="Tab3FirstColNonGras"/>
              <w:rPr>
                <w:lang w:val="fr-FR"/>
              </w:rPr>
            </w:pPr>
            <w:r>
              <w:rPr>
                <w:lang w:val="fr-FR"/>
              </w:rPr>
              <w:t>PULTEGROUP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7CAA1C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3AE4423" w14:textId="77777777">
            <w:pPr>
              <w:pStyle w:val="Tab3MiddleColNonGras"/>
              <w:rPr>
                <w:lang w:val="fr-FR"/>
              </w:rPr>
            </w:pPr>
            <w:r>
              <w:rPr>
                <w:lang w:val="fr-FR"/>
              </w:rPr>
              <w:t>475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F78C68F" w14:textId="77777777">
            <w:pPr>
              <w:pStyle w:val="Tab3MiddleColNonGras"/>
              <w:rPr>
                <w:lang w:val="fr-FR"/>
              </w:rPr>
            </w:pPr>
            <w:r>
              <w:rPr>
                <w:lang w:val="fr-FR"/>
              </w:rPr>
              <w:t>50 093,50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7663F9B" w14:textId="77777777">
            <w:pPr>
              <w:pStyle w:val="Tab3LastColNonGras"/>
              <w:rPr>
                <w:lang w:val="fr-FR"/>
              </w:rPr>
            </w:pPr>
            <w:r>
              <w:rPr>
                <w:lang w:val="fr-FR"/>
              </w:rPr>
              <w:t>0,01</w:t>
            </w:r>
          </w:p>
        </w:tc>
      </w:tr>
      <w:tr w14:paraId="17F449C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C891A27" w14:textId="77777777">
            <w:pPr>
              <w:pStyle w:val="Tab3FirstColNonGras"/>
              <w:rPr>
                <w:lang w:val="fr-FR"/>
              </w:rPr>
            </w:pPr>
            <w:r>
              <w:rPr>
                <w:lang w:val="fr-FR"/>
              </w:rPr>
              <w:t>SEKISUI CHEMICAL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2BD231C"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CF8B3F3" w14:textId="77777777">
            <w:pPr>
              <w:pStyle w:val="Tab3MiddleColNonGras"/>
              <w:rPr>
                <w:lang w:val="fr-FR"/>
              </w:rPr>
            </w:pPr>
            <w:r>
              <w:rPr>
                <w:lang w:val="fr-FR"/>
              </w:rPr>
              <w:t>1 300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C1C55C2" w14:textId="77777777">
            <w:pPr>
              <w:pStyle w:val="Tab3MiddleColNonGras"/>
              <w:rPr>
                <w:lang w:val="fr-FR"/>
              </w:rPr>
            </w:pPr>
            <w:r>
              <w:rPr>
                <w:lang w:val="fr-FR"/>
              </w:rPr>
              <w:t>23 507,91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612BD49" w14:textId="77777777">
            <w:pPr>
              <w:pStyle w:val="Tab3LastColNonGras"/>
              <w:rPr>
                <w:lang w:val="fr-FR"/>
              </w:rPr>
            </w:pPr>
            <w:r>
              <w:rPr>
                <w:lang w:val="fr-FR"/>
              </w:rPr>
              <w:t>0,01</w:t>
            </w:r>
          </w:p>
        </w:tc>
      </w:tr>
      <w:tr w14:paraId="093C768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1BF09DF" w14:textId="77777777">
            <w:pPr>
              <w:pStyle w:val="Tab3FirstColNonGras"/>
              <w:rPr>
                <w:lang w:val="fr-FR"/>
              </w:rPr>
            </w:pPr>
            <w:r>
              <w:rPr>
                <w:lang w:val="fr-FR"/>
              </w:rPr>
              <w:t>SEKISUI HOUSE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8EA7ACA"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6757BDE" w14:textId="77777777">
            <w:pPr>
              <w:pStyle w:val="Tab3MiddleColNonGras"/>
              <w:rPr>
                <w:lang w:val="fr-FR"/>
              </w:rPr>
            </w:pPr>
            <w:r>
              <w:rPr>
                <w:lang w:val="fr-FR"/>
              </w:rPr>
              <w:t>1 500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41D9703" w14:textId="77777777">
            <w:pPr>
              <w:pStyle w:val="Tab3MiddleColNonGras"/>
              <w:rPr>
                <w:lang w:val="fr-FR"/>
              </w:rPr>
            </w:pPr>
            <w:r>
              <w:rPr>
                <w:lang w:val="fr-FR"/>
              </w:rPr>
              <w:t>33 054,11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E37441A" w14:textId="77777777">
            <w:pPr>
              <w:pStyle w:val="Tab3LastColNonGras"/>
              <w:rPr>
                <w:lang w:val="fr-FR"/>
              </w:rPr>
            </w:pPr>
            <w:r>
              <w:rPr>
                <w:lang w:val="fr-FR"/>
              </w:rPr>
              <w:t>0,01</w:t>
            </w:r>
          </w:p>
        </w:tc>
      </w:tr>
      <w:tr w14:paraId="6DCEE11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F9B23A1" w14:textId="77777777">
            <w:pPr>
              <w:pStyle w:val="Tab3FirstColNonGras"/>
              <w:rPr>
                <w:lang w:val="fr-FR"/>
              </w:rPr>
            </w:pPr>
            <w:r>
              <w:rPr>
                <w:lang w:val="fr-FR"/>
              </w:rPr>
              <w:t>SNAP-ON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DB2BF7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D68FCBF" w14:textId="77777777">
            <w:pPr>
              <w:pStyle w:val="Tab3MiddleColNonGras"/>
              <w:rPr>
                <w:lang w:val="fr-FR"/>
              </w:rPr>
            </w:pPr>
            <w:r>
              <w:rPr>
                <w:lang w:val="fr-FR"/>
              </w:rPr>
              <w:t>487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FB4F929" w14:textId="77777777">
            <w:pPr>
              <w:pStyle w:val="Tab3MiddleColNonGras"/>
              <w:rPr>
                <w:lang w:val="fr-FR"/>
              </w:rPr>
            </w:pPr>
            <w:r>
              <w:rPr>
                <w:lang w:val="fr-FR"/>
              </w:rPr>
              <w:t>151 544,66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CC78890" w14:textId="77777777">
            <w:pPr>
              <w:pStyle w:val="Tab3LastColNonGras"/>
              <w:rPr>
                <w:lang w:val="fr-FR"/>
              </w:rPr>
            </w:pPr>
            <w:r>
              <w:rPr>
                <w:lang w:val="fr-FR"/>
              </w:rPr>
              <w:t>0,04</w:t>
            </w:r>
          </w:p>
        </w:tc>
      </w:tr>
      <w:tr w14:paraId="7B1E389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49E14F6" w14:textId="77777777">
            <w:pPr>
              <w:pStyle w:val="Tab3FirstColNonGras"/>
              <w:rPr>
                <w:lang w:val="fr-FR"/>
              </w:rPr>
            </w:pPr>
            <w:r>
              <w:rPr>
                <w:lang w:val="fr-FR"/>
              </w:rPr>
              <w:t>SONY GROUP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F96E088"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A309FF7" w14:textId="77777777">
            <w:pPr>
              <w:pStyle w:val="Tab3MiddleColNonGras"/>
              <w:rPr>
                <w:lang w:val="fr-FR"/>
              </w:rPr>
            </w:pPr>
            <w:r>
              <w:rPr>
                <w:lang w:val="fr-FR"/>
              </w:rPr>
              <w:t>58 700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675A969" w14:textId="77777777">
            <w:pPr>
              <w:pStyle w:val="Tab3MiddleColNonGras"/>
              <w:rPr>
                <w:lang w:val="fr-FR"/>
              </w:rPr>
            </w:pPr>
            <w:r>
              <w:rPr>
                <w:lang w:val="fr-FR"/>
              </w:rPr>
              <w:t>1 515 808,90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AF10374" w14:textId="77777777">
            <w:pPr>
              <w:pStyle w:val="Tab3LastColNonGras"/>
              <w:rPr>
                <w:lang w:val="fr-FR"/>
              </w:rPr>
            </w:pPr>
            <w:r>
              <w:rPr>
                <w:lang w:val="fr-FR"/>
              </w:rPr>
              <w:t>0,43</w:t>
            </w:r>
          </w:p>
        </w:tc>
      </w:tr>
    </w:tbl>
    <w:p w:rsidR="001F4AEE" w14:paraId="516E6661" w14:textId="77777777">
      <w:pPr>
        <w:sectPr>
          <w:headerReference w:type="default" r:id="rId24"/>
          <w:footerReference w:type="default" r:id="rId25"/>
          <w:pgSz w:w="11900" w:h="16840"/>
          <w:pgMar w:top="2154" w:right="1134" w:bottom="1134" w:left="1134" w:header="400" w:footer="400" w:gutter="0"/>
          <w:cols w:space="720"/>
        </w:sectPr>
      </w:pPr>
    </w:p>
    <w:p w:rsidR="001F4AEE" w14:paraId="135A6996" w14:textId="77777777">
      <w:pPr>
        <w:spacing w:line="30" w:lineRule="exact"/>
        <w:rPr>
          <w:sz w:val="3"/>
        </w:rPr>
      </w:pPr>
    </w:p>
    <w:p w:rsidR="001F4AEE" w14:paraId="0E916AE0" w14:textId="77777777">
      <w:pPr>
        <w:pStyle w:val="TechnicalBookmark"/>
        <w:rPr>
          <w:lang w:val="fr-FR"/>
        </w:rPr>
      </w:pPr>
      <w:r>
        <w:rPr>
          <w:lang w:val="fr-FR"/>
        </w:rPr>
        <w:fldChar w:fldCharType="begin"/>
      </w:r>
      <w:r>
        <w:rPr>
          <w:lang w:val="fr-FR"/>
        </w:rPr>
        <w:instrText xml:space="preserve"> SET 8C901C4E77C7ED9DA728B45DD987094A "" </w:instrText>
      </w:r>
      <w:r>
        <w:rPr>
          <w:lang w:val="fr-FR"/>
        </w:rPr>
        <w:fldChar w:fldCharType="separate"/>
      </w:r>
      <w:bookmarkStart w:id="80" w:name="8C901C4E77C7ED9DA728B45DD987094A"/>
      <w:bookmarkEnd w:id="80"/>
      <w:r>
        <w:rPr>
          <w:lang w:val="fr-FR"/>
        </w:rPr>
        <w:fldChar w:fldCharType="end"/>
      </w:r>
    </w:p>
    <w:p w:rsidR="001F4AEE" w14:paraId="7BBDBC82" w14:textId="77777777">
      <w:pPr>
        <w:pStyle w:val="H2"/>
        <w:rPr>
          <w:lang w:val="fr-FR"/>
        </w:rPr>
      </w:pPr>
      <w:r>
        <w:rPr>
          <w:lang w:val="fr-FR"/>
        </w:rPr>
        <w:t xml:space="preserve">Inventaire des éléments de bilan </w:t>
      </w:r>
    </w:p>
    <w:p w:rsidR="001F4AEE" w14:paraId="38F5BCB7" w14:textId="77777777">
      <w:pPr>
        <w:pStyle w:val="NoRefToc"/>
        <w:rPr>
          <w:lang w:val="fr-FR"/>
        </w:rPr>
      </w:pPr>
    </w:p>
    <w:p w:rsidR="001F4AEE" w14:paraId="46558B20" w14:textId="77777777">
      <w:pPr>
        <w:pStyle w:val="TechnicalBookmark"/>
        <w:rPr>
          <w:lang w:val="fr-FR"/>
        </w:rPr>
      </w:pPr>
      <w:r>
        <w:rPr>
          <w:lang w:val="fr-FR"/>
        </w:rPr>
        <w:fldChar w:fldCharType="begin"/>
      </w:r>
      <w:r>
        <w:rPr>
          <w:lang w:val="fr-FR"/>
        </w:rPr>
        <w:instrText xml:space="preserve"> SET BBBF4D925581B53B7F67B7C7DD23124D "" </w:instrText>
      </w:r>
      <w:r>
        <w:rPr>
          <w:lang w:val="fr-FR"/>
        </w:rPr>
        <w:fldChar w:fldCharType="separate"/>
      </w:r>
      <w:bookmarkStart w:id="81" w:name="BBBF4D925581B53B7F67B7C7DD23124D"/>
      <w:bookmarkEnd w:id="81"/>
      <w:r>
        <w:rPr>
          <w:lang w:val="fr-FR"/>
        </w:rPr>
        <w:fldChar w:fldCharType="end"/>
      </w:r>
    </w:p>
    <w:p w:rsidR="001F4AEE" w14:paraId="5AC731E0"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19A732F8"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26D143C1"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452113BC"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20FEFE39" w14:textId="77777777">
            <w:pPr>
              <w:pStyle w:val="EnteteTabMiddleColBordure"/>
              <w:spacing w:line="184" w:lineRule="exact"/>
              <w:rPr>
                <w:lang w:val="fr-FR"/>
              </w:rPr>
            </w:pPr>
            <w:r>
              <w:rPr>
                <w:lang w:val="fr-FR"/>
              </w:rPr>
              <w:t>Quantité ou</w:t>
            </w:r>
          </w:p>
          <w:p w:rsidR="001F4AEE" w14:paraId="716B8BE6"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45E2E36D"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2C3BA397" w14:textId="77777777">
            <w:pPr>
              <w:pStyle w:val="EnteteTabLastColBordure"/>
              <w:spacing w:line="184" w:lineRule="exact"/>
              <w:rPr>
                <w:lang w:val="fr-FR"/>
              </w:rPr>
            </w:pPr>
            <w:r>
              <w:rPr>
                <w:lang w:val="fr-FR"/>
              </w:rPr>
              <w:t>% Actif</w:t>
            </w:r>
          </w:p>
          <w:p w:rsidR="001F4AEE" w14:paraId="06FFAD47" w14:textId="77777777">
            <w:pPr>
              <w:pStyle w:val="EnteteTabLastColBordure"/>
              <w:spacing w:line="184" w:lineRule="exact"/>
              <w:rPr>
                <w:lang w:val="fr-FR"/>
              </w:rPr>
            </w:pPr>
            <w:r>
              <w:rPr>
                <w:lang w:val="fr-FR"/>
              </w:rPr>
              <w:t>Net</w:t>
            </w:r>
          </w:p>
        </w:tc>
      </w:tr>
      <w:tr w14:paraId="6325B46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3E5B1415" w14:textId="77777777">
            <w:pPr>
              <w:pStyle w:val="Tab1FirstColGras"/>
              <w:rPr>
                <w:lang w:val="fr-FR"/>
              </w:rPr>
            </w:pPr>
            <w:r>
              <w:rPr>
                <w:lang w:val="fr-FR"/>
              </w:rPr>
              <w:t>Biotechnologie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471E481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6FC15C3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67FCC350" w14:textId="77777777">
            <w:pPr>
              <w:pStyle w:val="Tab1MiddleColGras"/>
              <w:rPr>
                <w:lang w:val="fr-FR"/>
              </w:rPr>
            </w:pPr>
            <w:r>
              <w:rPr>
                <w:lang w:val="fr-FR"/>
              </w:rPr>
              <w:t>2 679 027,88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6DDB997" w14:textId="77777777">
            <w:pPr>
              <w:pStyle w:val="Tab1LastColGras"/>
              <w:rPr>
                <w:lang w:val="fr-FR"/>
              </w:rPr>
            </w:pPr>
            <w:r>
              <w:rPr>
                <w:lang w:val="fr-FR"/>
              </w:rPr>
              <w:t>0,77</w:t>
            </w:r>
          </w:p>
        </w:tc>
      </w:tr>
      <w:tr w14:paraId="62D71A5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8872930" w14:textId="77777777">
            <w:pPr>
              <w:pStyle w:val="Tab3FirstColNonGras"/>
              <w:rPr>
                <w:lang w:val="fr-FR"/>
              </w:rPr>
            </w:pPr>
            <w:r>
              <w:rPr>
                <w:lang w:val="fr-FR"/>
              </w:rPr>
              <w:t>ALNYLAM PHARMACEUTICALS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443F8B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EAA76DA" w14:textId="77777777">
            <w:pPr>
              <w:pStyle w:val="Tab3MiddleColNonGras"/>
              <w:rPr>
                <w:lang w:val="fr-FR"/>
              </w:rPr>
            </w:pPr>
            <w:r>
              <w:rPr>
                <w:lang w:val="fr-FR"/>
              </w:rPr>
              <w:t>694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C9E5D43" w14:textId="77777777">
            <w:pPr>
              <w:pStyle w:val="Tab3MiddleColNonGras"/>
              <w:rPr>
                <w:lang w:val="fr-FR"/>
              </w:rPr>
            </w:pPr>
            <w:r>
              <w:rPr>
                <w:lang w:val="fr-FR"/>
              </w:rPr>
              <w:t>226 306,46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26CCBE6" w14:textId="77777777">
            <w:pPr>
              <w:pStyle w:val="Tab3LastColNonGras"/>
              <w:rPr>
                <w:lang w:val="fr-FR"/>
              </w:rPr>
            </w:pPr>
            <w:r>
              <w:rPr>
                <w:lang w:val="fr-FR"/>
              </w:rPr>
              <w:t>0,07</w:t>
            </w:r>
          </w:p>
        </w:tc>
      </w:tr>
      <w:tr w14:paraId="08FF271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11B1329" w14:textId="77777777">
            <w:pPr>
              <w:pStyle w:val="Tab3FirstColNonGras"/>
              <w:rPr>
                <w:lang w:val="fr-FR"/>
              </w:rPr>
            </w:pPr>
            <w:r>
              <w:rPr>
                <w:lang w:val="fr-FR"/>
              </w:rPr>
              <w:t>AMGEN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6BB00A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F1420B1" w14:textId="77777777">
            <w:pPr>
              <w:pStyle w:val="Tab3MiddleColNonGras"/>
              <w:rPr>
                <w:lang w:val="fr-FR"/>
              </w:rPr>
            </w:pPr>
            <w:r>
              <w:rPr>
                <w:lang w:val="fr-FR"/>
              </w:rPr>
              <w:t>2 648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236F7FA" w14:textId="77777777">
            <w:pPr>
              <w:pStyle w:val="Tab3MiddleColNonGras"/>
              <w:rPr>
                <w:lang w:val="fr-FR"/>
              </w:rPr>
            </w:pPr>
            <w:r>
              <w:rPr>
                <w:lang w:val="fr-FR"/>
              </w:rPr>
              <w:t>739 348,08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1D3E4DA" w14:textId="77777777">
            <w:pPr>
              <w:pStyle w:val="Tab3LastColNonGras"/>
              <w:rPr>
                <w:lang w:val="fr-FR"/>
              </w:rPr>
            </w:pPr>
            <w:r>
              <w:rPr>
                <w:lang w:val="fr-FR"/>
              </w:rPr>
              <w:t>0,21</w:t>
            </w:r>
          </w:p>
        </w:tc>
      </w:tr>
      <w:tr w14:paraId="165B7F4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3F8A4D34" w14:textId="77777777">
            <w:pPr>
              <w:pStyle w:val="Tab3FirstColNonGras"/>
              <w:rPr>
                <w:lang w:val="en-US"/>
              </w:rPr>
            </w:pPr>
            <w:r w:rsidRPr="00D61EB0">
              <w:rPr>
                <w:lang w:val="en-US"/>
              </w:rPr>
              <w:t>ARGEN-X SE - W/I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7C0AD2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5C005F6" w14:textId="77777777">
            <w:pPr>
              <w:pStyle w:val="Tab3MiddleColNonGras"/>
              <w:rPr>
                <w:lang w:val="fr-FR"/>
              </w:rPr>
            </w:pPr>
            <w:r>
              <w:rPr>
                <w:lang w:val="fr-FR"/>
              </w:rPr>
              <w:t>294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2B1A92C" w14:textId="77777777">
            <w:pPr>
              <w:pStyle w:val="Tab3MiddleColNonGras"/>
              <w:rPr>
                <w:lang w:val="fr-FR"/>
              </w:rPr>
            </w:pPr>
            <w:r>
              <w:rPr>
                <w:lang w:val="fr-FR"/>
              </w:rPr>
              <w:t>162 133,57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4B3F219" w14:textId="77777777">
            <w:pPr>
              <w:pStyle w:val="Tab3LastColNonGras"/>
              <w:rPr>
                <w:lang w:val="fr-FR"/>
              </w:rPr>
            </w:pPr>
            <w:r>
              <w:rPr>
                <w:lang w:val="fr-FR"/>
              </w:rPr>
              <w:t>0,05</w:t>
            </w:r>
          </w:p>
        </w:tc>
      </w:tr>
      <w:tr w14:paraId="3AC5C9B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F2D8FBE" w14:textId="77777777">
            <w:pPr>
              <w:pStyle w:val="Tab3FirstColNonGras"/>
              <w:rPr>
                <w:lang w:val="fr-FR"/>
              </w:rPr>
            </w:pPr>
            <w:r>
              <w:rPr>
                <w:lang w:val="fr-FR"/>
              </w:rPr>
              <w:t>BIOMARIN PHARMACEUTICAL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1F04F8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B27D047" w14:textId="77777777">
            <w:pPr>
              <w:pStyle w:val="Tab3MiddleColNonGras"/>
              <w:rPr>
                <w:lang w:val="fr-FR"/>
              </w:rPr>
            </w:pPr>
            <w:r>
              <w:rPr>
                <w:lang w:val="fr-FR"/>
              </w:rPr>
              <w:t>945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16DEC4A" w14:textId="77777777">
            <w:pPr>
              <w:pStyle w:val="Tab3MiddleColNonGras"/>
              <w:rPr>
                <w:lang w:val="fr-FR"/>
              </w:rPr>
            </w:pPr>
            <w:r>
              <w:rPr>
                <w:lang w:val="fr-FR"/>
              </w:rPr>
              <w:t>51 946,65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10EAB13" w14:textId="77777777">
            <w:pPr>
              <w:pStyle w:val="Tab3LastColNonGras"/>
              <w:rPr>
                <w:lang w:val="fr-FR"/>
              </w:rPr>
            </w:pPr>
            <w:r>
              <w:rPr>
                <w:lang w:val="fr-FR"/>
              </w:rPr>
              <w:t>0,01</w:t>
            </w:r>
          </w:p>
        </w:tc>
      </w:tr>
      <w:tr w14:paraId="1198934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0D8A588" w14:textId="77777777">
            <w:pPr>
              <w:pStyle w:val="Tab3FirstColNonGras"/>
              <w:rPr>
                <w:lang w:val="fr-FR"/>
              </w:rPr>
            </w:pPr>
            <w:r>
              <w:rPr>
                <w:lang w:val="fr-FR"/>
              </w:rPr>
              <w:t>CSL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2533EC1"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E9B3E9D" w14:textId="77777777">
            <w:pPr>
              <w:pStyle w:val="Tab3MiddleColNonGras"/>
              <w:rPr>
                <w:lang w:val="fr-FR"/>
              </w:rPr>
            </w:pPr>
            <w:r>
              <w:rPr>
                <w:lang w:val="fr-FR"/>
              </w:rPr>
              <w:t>2 215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4BDF855" w14:textId="77777777">
            <w:pPr>
              <w:pStyle w:val="Tab3MiddleColNonGras"/>
              <w:rPr>
                <w:lang w:val="fr-FR"/>
              </w:rPr>
            </w:pPr>
            <w:r>
              <w:rPr>
                <w:lang w:val="fr-FR"/>
              </w:rPr>
              <w:t>347 635,11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6ECB2EB" w14:textId="77777777">
            <w:pPr>
              <w:pStyle w:val="Tab3LastColNonGras"/>
              <w:rPr>
                <w:lang w:val="fr-FR"/>
              </w:rPr>
            </w:pPr>
            <w:r>
              <w:rPr>
                <w:lang w:val="fr-FR"/>
              </w:rPr>
              <w:t>0,10</w:t>
            </w:r>
          </w:p>
        </w:tc>
      </w:tr>
      <w:tr w14:paraId="04B8DDF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556BD39" w14:textId="77777777">
            <w:pPr>
              <w:pStyle w:val="Tab3FirstColNonGras"/>
              <w:rPr>
                <w:lang w:val="fr-FR"/>
              </w:rPr>
            </w:pPr>
            <w:r>
              <w:rPr>
                <w:lang w:val="fr-FR"/>
              </w:rPr>
              <w:t>GENMAB A/S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BA5F08D" w14:textId="77777777">
            <w:pPr>
              <w:pStyle w:val="Tab1MiddleColNonGrasCentre"/>
              <w:rPr>
                <w:lang w:val="fr-FR"/>
              </w:rPr>
            </w:pPr>
            <w:r>
              <w:rPr>
                <w:lang w:val="fr-FR"/>
              </w:rPr>
              <w:t>DKK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80A1794" w14:textId="77777777">
            <w:pPr>
              <w:pStyle w:val="Tab3MiddleColNonGras"/>
              <w:rPr>
                <w:lang w:val="fr-FR"/>
              </w:rPr>
            </w:pPr>
            <w:r>
              <w:rPr>
                <w:lang w:val="fr-FR"/>
              </w:rPr>
              <w:t>349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637781C" w14:textId="77777777">
            <w:pPr>
              <w:pStyle w:val="Tab3MiddleColNonGras"/>
              <w:rPr>
                <w:lang w:val="fr-FR"/>
              </w:rPr>
            </w:pPr>
            <w:r>
              <w:rPr>
                <w:lang w:val="fr-FR"/>
              </w:rPr>
              <w:t>72 206,85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907A104" w14:textId="77777777">
            <w:pPr>
              <w:pStyle w:val="Tab3LastColNonGras"/>
              <w:rPr>
                <w:lang w:val="fr-FR"/>
              </w:rPr>
            </w:pPr>
            <w:r>
              <w:rPr>
                <w:lang w:val="fr-FR"/>
              </w:rPr>
              <w:t>0,02</w:t>
            </w:r>
          </w:p>
        </w:tc>
      </w:tr>
      <w:tr w14:paraId="353A89B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326FE9A" w14:textId="77777777">
            <w:pPr>
              <w:pStyle w:val="Tab3FirstColNonGras"/>
              <w:rPr>
                <w:lang w:val="fr-FR"/>
              </w:rPr>
            </w:pPr>
            <w:r>
              <w:rPr>
                <w:lang w:val="fr-FR"/>
              </w:rPr>
              <w:t>GILEAD SCIENCES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A023F8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34CC363" w14:textId="77777777">
            <w:pPr>
              <w:pStyle w:val="Tab3MiddleColNonGras"/>
              <w:rPr>
                <w:lang w:val="fr-FR"/>
              </w:rPr>
            </w:pPr>
            <w:r>
              <w:rPr>
                <w:lang w:val="fr-FR"/>
              </w:rPr>
              <w:t>6 362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2F08B86" w14:textId="77777777">
            <w:pPr>
              <w:pStyle w:val="Tab3MiddleColNonGras"/>
              <w:rPr>
                <w:lang w:val="fr-FR"/>
              </w:rPr>
            </w:pPr>
            <w:r>
              <w:rPr>
                <w:lang w:val="fr-FR"/>
              </w:rPr>
              <w:t>705 354,94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125765D" w14:textId="77777777">
            <w:pPr>
              <w:pStyle w:val="Tab3LastColNonGras"/>
              <w:rPr>
                <w:lang w:val="fr-FR"/>
              </w:rPr>
            </w:pPr>
            <w:r>
              <w:rPr>
                <w:lang w:val="fr-FR"/>
              </w:rPr>
              <w:t>0,20</w:t>
            </w:r>
          </w:p>
        </w:tc>
      </w:tr>
      <w:tr w14:paraId="4787E93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1C28A66" w14:textId="77777777">
            <w:pPr>
              <w:pStyle w:val="Tab3FirstColNonGras"/>
              <w:rPr>
                <w:lang w:val="fr-FR"/>
              </w:rPr>
            </w:pPr>
            <w:r>
              <w:rPr>
                <w:lang w:val="fr-FR"/>
              </w:rPr>
              <w:t>GRIFOLS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F443F2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83680D2" w14:textId="77777777">
            <w:pPr>
              <w:pStyle w:val="Tab3MiddleColNonGras"/>
              <w:rPr>
                <w:lang w:val="fr-FR"/>
              </w:rPr>
            </w:pPr>
            <w:r>
              <w:rPr>
                <w:lang w:val="fr-FR"/>
              </w:rPr>
              <w:t>1 022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DF8DC19" w14:textId="77777777">
            <w:pPr>
              <w:pStyle w:val="Tab3MiddleColNonGras"/>
              <w:rPr>
                <w:lang w:val="fr-FR"/>
              </w:rPr>
            </w:pPr>
            <w:r>
              <w:rPr>
                <w:lang w:val="fr-FR"/>
              </w:rPr>
              <w:t>12 416,63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F205C75" w14:textId="77777777">
            <w:pPr>
              <w:pStyle w:val="Tab3LastColNonGras"/>
              <w:rPr>
                <w:lang w:val="fr-FR"/>
              </w:rPr>
            </w:pPr>
            <w:r>
              <w:rPr>
                <w:lang w:val="fr-FR"/>
              </w:rPr>
              <w:t>0,00</w:t>
            </w:r>
          </w:p>
        </w:tc>
      </w:tr>
      <w:tr w14:paraId="7E5BAC1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40BC95D" w14:textId="77777777">
            <w:pPr>
              <w:pStyle w:val="Tab3FirstColNonGras"/>
              <w:rPr>
                <w:lang w:val="fr-FR"/>
              </w:rPr>
            </w:pPr>
            <w:r>
              <w:rPr>
                <w:lang w:val="fr-FR"/>
              </w:rPr>
              <w:t>IMCD BV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338C67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4224FE6" w14:textId="77777777">
            <w:pPr>
              <w:pStyle w:val="Tab3MiddleColNonGras"/>
              <w:rPr>
                <w:lang w:val="fr-FR"/>
              </w:rPr>
            </w:pPr>
            <w:r>
              <w:rPr>
                <w:lang w:val="fr-FR"/>
              </w:rPr>
              <w:t>152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35FD26B" w14:textId="77777777">
            <w:pPr>
              <w:pStyle w:val="Tab3MiddleColNonGras"/>
              <w:rPr>
                <w:lang w:val="fr-FR"/>
              </w:rPr>
            </w:pPr>
            <w:r>
              <w:rPr>
                <w:lang w:val="fr-FR"/>
              </w:rPr>
              <w:t>20 349,39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E181E9F" w14:textId="77777777">
            <w:pPr>
              <w:pStyle w:val="Tab3LastColNonGras"/>
              <w:rPr>
                <w:lang w:val="fr-FR"/>
              </w:rPr>
            </w:pPr>
            <w:r>
              <w:rPr>
                <w:lang w:val="fr-FR"/>
              </w:rPr>
              <w:t>0,01</w:t>
            </w:r>
          </w:p>
        </w:tc>
      </w:tr>
      <w:tr w14:paraId="20A261F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DE6427B" w14:textId="77777777">
            <w:pPr>
              <w:pStyle w:val="Tab3FirstColNonGras"/>
              <w:rPr>
                <w:lang w:val="fr-FR"/>
              </w:rPr>
            </w:pPr>
            <w:r>
              <w:rPr>
                <w:lang w:val="fr-FR"/>
              </w:rPr>
              <w:t>INCYTE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59124D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C3F9390" w14:textId="77777777">
            <w:pPr>
              <w:pStyle w:val="Tab3MiddleColNonGras"/>
              <w:rPr>
                <w:lang w:val="fr-FR"/>
              </w:rPr>
            </w:pPr>
            <w:r>
              <w:rPr>
                <w:lang w:val="fr-FR"/>
              </w:rPr>
              <w:t>1 209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E0CE962" w14:textId="77777777">
            <w:pPr>
              <w:pStyle w:val="Tab3MiddleColNonGras"/>
              <w:rPr>
                <w:lang w:val="fr-FR"/>
              </w:rPr>
            </w:pPr>
            <w:r>
              <w:rPr>
                <w:lang w:val="fr-FR"/>
              </w:rPr>
              <w:t>82 332,90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06227ED" w14:textId="77777777">
            <w:pPr>
              <w:pStyle w:val="Tab3LastColNonGras"/>
              <w:rPr>
                <w:lang w:val="fr-FR"/>
              </w:rPr>
            </w:pPr>
            <w:r>
              <w:rPr>
                <w:lang w:val="fr-FR"/>
              </w:rPr>
              <w:t>0,02</w:t>
            </w:r>
          </w:p>
        </w:tc>
      </w:tr>
      <w:tr w14:paraId="4D7F175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095741D" w14:textId="77777777">
            <w:pPr>
              <w:pStyle w:val="Tab3FirstColNonGras"/>
              <w:rPr>
                <w:lang w:val="fr-FR"/>
              </w:rPr>
            </w:pPr>
            <w:r>
              <w:rPr>
                <w:lang w:val="fr-FR"/>
              </w:rPr>
              <w:t>NATERA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0942A2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F227ED9" w14:textId="77777777">
            <w:pPr>
              <w:pStyle w:val="Tab3MiddleColNonGras"/>
              <w:rPr>
                <w:lang w:val="fr-FR"/>
              </w:rPr>
            </w:pPr>
            <w:r>
              <w:rPr>
                <w:lang w:val="fr-FR"/>
              </w:rPr>
              <w:t>604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96932C2" w14:textId="77777777">
            <w:pPr>
              <w:pStyle w:val="Tab3MiddleColNonGras"/>
              <w:rPr>
                <w:lang w:val="fr-FR"/>
              </w:rPr>
            </w:pPr>
            <w:r>
              <w:rPr>
                <w:lang w:val="fr-FR"/>
              </w:rPr>
              <w:t>102 039,76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3CD13D7" w14:textId="77777777">
            <w:pPr>
              <w:pStyle w:val="Tab3LastColNonGras"/>
              <w:rPr>
                <w:lang w:val="fr-FR"/>
              </w:rPr>
            </w:pPr>
            <w:r>
              <w:rPr>
                <w:lang w:val="fr-FR"/>
              </w:rPr>
              <w:t>0,03</w:t>
            </w:r>
          </w:p>
        </w:tc>
      </w:tr>
      <w:tr w14:paraId="4820B69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FB03915" w14:textId="77777777">
            <w:pPr>
              <w:pStyle w:val="Tab3FirstColNonGras"/>
              <w:rPr>
                <w:lang w:val="fr-FR"/>
              </w:rPr>
            </w:pPr>
            <w:r>
              <w:rPr>
                <w:lang w:val="fr-FR"/>
              </w:rPr>
              <w:t>NEUROCRINE BIOSCIENCES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68A9C7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EA25AA6" w14:textId="77777777">
            <w:pPr>
              <w:pStyle w:val="Tab3MiddleColNonGras"/>
              <w:rPr>
                <w:lang w:val="fr-FR"/>
              </w:rPr>
            </w:pPr>
            <w:r>
              <w:rPr>
                <w:lang w:val="fr-FR"/>
              </w:rPr>
              <w:t>495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57C7A15" w14:textId="77777777">
            <w:pPr>
              <w:pStyle w:val="Tab3MiddleColNonGras"/>
              <w:rPr>
                <w:lang w:val="fr-FR"/>
              </w:rPr>
            </w:pPr>
            <w:r>
              <w:rPr>
                <w:lang w:val="fr-FR"/>
              </w:rPr>
              <w:t>62 216,55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364410F" w14:textId="77777777">
            <w:pPr>
              <w:pStyle w:val="Tab3LastColNonGras"/>
              <w:rPr>
                <w:lang w:val="fr-FR"/>
              </w:rPr>
            </w:pPr>
            <w:r>
              <w:rPr>
                <w:lang w:val="fr-FR"/>
              </w:rPr>
              <w:t>0,02</w:t>
            </w:r>
          </w:p>
        </w:tc>
      </w:tr>
      <w:tr w14:paraId="63E5F61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A09860A" w14:textId="77777777">
            <w:pPr>
              <w:pStyle w:val="Tab3FirstColNonGras"/>
              <w:rPr>
                <w:lang w:val="fr-FR"/>
              </w:rPr>
            </w:pPr>
            <w:r>
              <w:rPr>
                <w:lang w:val="fr-FR"/>
              </w:rPr>
              <w:t>SWEDISH ORPHAN BIOVITRUM AB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A67F68A"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169DBDC" w14:textId="77777777">
            <w:pPr>
              <w:pStyle w:val="Tab3MiddleColNonGras"/>
              <w:rPr>
                <w:lang w:val="fr-FR"/>
              </w:rPr>
            </w:pPr>
            <w:r>
              <w:rPr>
                <w:lang w:val="fr-FR"/>
              </w:rPr>
              <w:t>1 223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5244497" w14:textId="77777777">
            <w:pPr>
              <w:pStyle w:val="Tab3MiddleColNonGras"/>
              <w:rPr>
                <w:lang w:val="fr-FR"/>
              </w:rPr>
            </w:pPr>
            <w:r>
              <w:rPr>
                <w:lang w:val="fr-FR"/>
              </w:rPr>
              <w:t>36 983,64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B681B23" w14:textId="77777777">
            <w:pPr>
              <w:pStyle w:val="Tab3LastColNonGras"/>
              <w:rPr>
                <w:lang w:val="fr-FR"/>
              </w:rPr>
            </w:pPr>
            <w:r>
              <w:rPr>
                <w:lang w:val="fr-FR"/>
              </w:rPr>
              <w:t>0,01</w:t>
            </w:r>
          </w:p>
        </w:tc>
      </w:tr>
      <w:tr w14:paraId="3C4FE5F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81EAB3F" w14:textId="77777777">
            <w:pPr>
              <w:pStyle w:val="Tab3FirstColNonGras"/>
              <w:rPr>
                <w:lang w:val="fr-FR"/>
              </w:rPr>
            </w:pPr>
            <w:r>
              <w:rPr>
                <w:lang w:val="fr-FR"/>
              </w:rPr>
              <w:t>UNITED THERAPEUTICS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B9C500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6B6E29A" w14:textId="77777777">
            <w:pPr>
              <w:pStyle w:val="Tab3MiddleColNonGras"/>
              <w:rPr>
                <w:lang w:val="fr-FR"/>
              </w:rPr>
            </w:pPr>
            <w:r>
              <w:rPr>
                <w:lang w:val="fr-FR"/>
              </w:rPr>
              <w:t>201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120016A" w14:textId="77777777">
            <w:pPr>
              <w:pStyle w:val="Tab3MiddleColNonGras"/>
              <w:rPr>
                <w:lang w:val="fr-FR"/>
              </w:rPr>
            </w:pPr>
            <w:r>
              <w:rPr>
                <w:lang w:val="fr-FR"/>
              </w:rPr>
              <w:t>57 757,35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3E326B0" w14:textId="77777777">
            <w:pPr>
              <w:pStyle w:val="Tab3LastColNonGras"/>
              <w:rPr>
                <w:lang w:val="fr-FR"/>
              </w:rPr>
            </w:pPr>
            <w:r>
              <w:rPr>
                <w:lang w:val="fr-FR"/>
              </w:rPr>
              <w:t>0,02</w:t>
            </w:r>
          </w:p>
        </w:tc>
      </w:tr>
      <w:tr w14:paraId="5EC9F50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6036C94A" w14:textId="77777777">
            <w:pPr>
              <w:pStyle w:val="Tab1FirstColGras"/>
              <w:rPr>
                <w:lang w:val="fr-FR"/>
              </w:rPr>
            </w:pPr>
            <w:r>
              <w:rPr>
                <w:lang w:val="fr-FR"/>
              </w:rPr>
              <w:t>Boissons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30D5066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77648F0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67D04DBE" w14:textId="77777777">
            <w:pPr>
              <w:pStyle w:val="Tab1MiddleColGras"/>
              <w:rPr>
                <w:lang w:val="fr-FR"/>
              </w:rPr>
            </w:pPr>
            <w:r>
              <w:rPr>
                <w:lang w:val="fr-FR"/>
              </w:rPr>
              <w:t>2 396 705,13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D436D6E" w14:textId="77777777">
            <w:pPr>
              <w:pStyle w:val="Tab1LastColGras"/>
              <w:rPr>
                <w:lang w:val="fr-FR"/>
              </w:rPr>
            </w:pPr>
            <w:r>
              <w:rPr>
                <w:lang w:val="fr-FR"/>
              </w:rPr>
              <w:t>0,69</w:t>
            </w:r>
          </w:p>
        </w:tc>
      </w:tr>
      <w:tr w14:paraId="53D2F6D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04C9956A" w14:textId="77777777">
            <w:pPr>
              <w:pStyle w:val="Tab3FirstColNonGras"/>
              <w:rPr>
                <w:lang w:val="de-DE"/>
              </w:rPr>
            </w:pPr>
            <w:r w:rsidRPr="00D61EB0">
              <w:rPr>
                <w:lang w:val="de-DE"/>
              </w:rPr>
              <w:t>ANHEUSER-BUSCH INBEV SA/NV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475B9C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3640E6E" w14:textId="77777777">
            <w:pPr>
              <w:pStyle w:val="Tab3MiddleColNonGras"/>
              <w:rPr>
                <w:lang w:val="fr-FR"/>
              </w:rPr>
            </w:pPr>
            <w:r>
              <w:rPr>
                <w:lang w:val="fr-FR"/>
              </w:rPr>
              <w:t>2 142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08A92B0" w14:textId="77777777">
            <w:pPr>
              <w:pStyle w:val="Tab3MiddleColNonGras"/>
              <w:rPr>
                <w:lang w:val="fr-FR"/>
              </w:rPr>
            </w:pPr>
            <w:r>
              <w:rPr>
                <w:lang w:val="fr-FR"/>
              </w:rPr>
              <w:t>146 437,88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F2A462D" w14:textId="77777777">
            <w:pPr>
              <w:pStyle w:val="Tab3LastColNonGras"/>
              <w:rPr>
                <w:lang w:val="fr-FR"/>
              </w:rPr>
            </w:pPr>
            <w:r>
              <w:rPr>
                <w:lang w:val="fr-FR"/>
              </w:rPr>
              <w:t>0,04</w:t>
            </w:r>
          </w:p>
        </w:tc>
      </w:tr>
      <w:tr w14:paraId="37C7C34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F53EB9F" w14:textId="77777777">
            <w:pPr>
              <w:pStyle w:val="Tab3FirstColNonGras"/>
              <w:rPr>
                <w:lang w:val="fr-FR"/>
              </w:rPr>
            </w:pPr>
            <w:r>
              <w:rPr>
                <w:lang w:val="fr-FR"/>
              </w:rPr>
              <w:t>ASAHI GROUP HOLDINGS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1830CFA"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B95A0F9" w14:textId="77777777">
            <w:pPr>
              <w:pStyle w:val="Tab3MiddleColNonGras"/>
              <w:rPr>
                <w:lang w:val="fr-FR"/>
              </w:rPr>
            </w:pPr>
            <w:r>
              <w:rPr>
                <w:lang w:val="fr-FR"/>
              </w:rPr>
              <w:t>3 400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64D353F" w14:textId="77777777">
            <w:pPr>
              <w:pStyle w:val="Tab3MiddleColNonGras"/>
              <w:rPr>
                <w:lang w:val="fr-FR"/>
              </w:rPr>
            </w:pPr>
            <w:r>
              <w:rPr>
                <w:lang w:val="fr-FR"/>
              </w:rPr>
              <w:t>45 370,21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B005B9F" w14:textId="77777777">
            <w:pPr>
              <w:pStyle w:val="Tab3LastColNonGras"/>
              <w:rPr>
                <w:lang w:val="fr-FR"/>
              </w:rPr>
            </w:pPr>
            <w:r>
              <w:rPr>
                <w:lang w:val="fr-FR"/>
              </w:rPr>
              <w:t>0,01</w:t>
            </w:r>
          </w:p>
        </w:tc>
      </w:tr>
      <w:tr w14:paraId="65CA610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059B061C" w14:textId="77777777">
            <w:pPr>
              <w:pStyle w:val="Tab3FirstColNonGras"/>
              <w:rPr>
                <w:lang w:val="en-US"/>
              </w:rPr>
            </w:pPr>
            <w:r w:rsidRPr="00D61EB0">
              <w:rPr>
                <w:lang w:val="en-US"/>
              </w:rPr>
              <w:t>BROWN-FORMAN CORP-CLASS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746240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8E21CA7" w14:textId="77777777">
            <w:pPr>
              <w:pStyle w:val="Tab3MiddleColNonGras"/>
              <w:rPr>
                <w:lang w:val="fr-FR"/>
              </w:rPr>
            </w:pPr>
            <w:r>
              <w:rPr>
                <w:lang w:val="fr-FR"/>
              </w:rPr>
              <w:t>1 833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5721E44" w14:textId="77777777">
            <w:pPr>
              <w:pStyle w:val="Tab3MiddleColNonGras"/>
              <w:rPr>
                <w:lang w:val="fr-FR"/>
              </w:rPr>
            </w:pPr>
            <w:r>
              <w:rPr>
                <w:lang w:val="fr-FR"/>
              </w:rPr>
              <w:t>49 326,03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5FFEA40" w14:textId="77777777">
            <w:pPr>
              <w:pStyle w:val="Tab3LastColNonGras"/>
              <w:rPr>
                <w:lang w:val="fr-FR"/>
              </w:rPr>
            </w:pPr>
            <w:r>
              <w:rPr>
                <w:lang w:val="fr-FR"/>
              </w:rPr>
              <w:t>0,01</w:t>
            </w:r>
          </w:p>
        </w:tc>
      </w:tr>
      <w:tr w14:paraId="5A85104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FF94A32" w14:textId="77777777">
            <w:pPr>
              <w:pStyle w:val="Tab3FirstColNonGras"/>
              <w:rPr>
                <w:lang w:val="fr-FR"/>
              </w:rPr>
            </w:pPr>
            <w:r>
              <w:rPr>
                <w:lang w:val="fr-FR"/>
              </w:rPr>
              <w:t>CARLSBERG AS-B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9A03549" w14:textId="77777777">
            <w:pPr>
              <w:pStyle w:val="Tab1MiddleColNonGrasCentre"/>
              <w:rPr>
                <w:lang w:val="fr-FR"/>
              </w:rPr>
            </w:pPr>
            <w:r>
              <w:rPr>
                <w:lang w:val="fr-FR"/>
              </w:rPr>
              <w:t>DKK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228F22F" w14:textId="77777777">
            <w:pPr>
              <w:pStyle w:val="Tab3MiddleColNonGras"/>
              <w:rPr>
                <w:lang w:val="fr-FR"/>
              </w:rPr>
            </w:pPr>
            <w:r>
              <w:rPr>
                <w:lang w:val="fr-FR"/>
              </w:rPr>
              <w:t>230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7DFC58D" w14:textId="77777777">
            <w:pPr>
              <w:pStyle w:val="Tab3MiddleColNonGras"/>
              <w:rPr>
                <w:lang w:val="fr-FR"/>
              </w:rPr>
            </w:pPr>
            <w:r>
              <w:rPr>
                <w:lang w:val="fr-FR"/>
              </w:rPr>
              <w:t>32 474,40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EAA68D9" w14:textId="77777777">
            <w:pPr>
              <w:pStyle w:val="Tab3LastColNonGras"/>
              <w:rPr>
                <w:lang w:val="fr-FR"/>
              </w:rPr>
            </w:pPr>
            <w:r>
              <w:rPr>
                <w:lang w:val="fr-FR"/>
              </w:rPr>
              <w:t>0,01</w:t>
            </w:r>
          </w:p>
        </w:tc>
      </w:tr>
      <w:tr w14:paraId="185F20D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DCDECD3" w14:textId="77777777">
            <w:pPr>
              <w:pStyle w:val="Tab3FirstColNonGras"/>
              <w:rPr>
                <w:lang w:val="fr-FR"/>
              </w:rPr>
            </w:pPr>
            <w:r>
              <w:rPr>
                <w:lang w:val="fr-FR"/>
              </w:rPr>
              <w:t>COCA-COLA EUROPACIFIC PARTNE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003389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69FB055" w14:textId="77777777">
            <w:pPr>
              <w:pStyle w:val="Tab3MiddleColNonGras"/>
              <w:rPr>
                <w:lang w:val="fr-FR"/>
              </w:rPr>
            </w:pPr>
            <w:r>
              <w:rPr>
                <w:lang w:val="fr-FR"/>
              </w:rPr>
              <w:t>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73C89CB" w14:textId="77777777">
            <w:pPr>
              <w:pStyle w:val="Tab3MiddleColNonGras"/>
              <w:rPr>
                <w:lang w:val="fr-FR"/>
              </w:rPr>
            </w:pPr>
            <w:r>
              <w:rPr>
                <w:lang w:val="fr-FR"/>
              </w:rPr>
              <w:t>46 360,00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87EED36" w14:textId="77777777">
            <w:pPr>
              <w:pStyle w:val="Tab3LastColNonGras"/>
              <w:rPr>
                <w:lang w:val="fr-FR"/>
              </w:rPr>
            </w:pPr>
            <w:r>
              <w:rPr>
                <w:lang w:val="fr-FR"/>
              </w:rPr>
              <w:t>0,01</w:t>
            </w:r>
          </w:p>
        </w:tc>
      </w:tr>
      <w:tr w14:paraId="319F8BD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47C7583" w14:textId="77777777">
            <w:pPr>
              <w:pStyle w:val="Tab3FirstColNonGras"/>
              <w:rPr>
                <w:lang w:val="fr-FR"/>
              </w:rPr>
            </w:pPr>
            <w:r>
              <w:rPr>
                <w:lang w:val="fr-FR"/>
              </w:rPr>
              <w:t>CONSTELLATION BRANDS INC-A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5B4D10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4C48484" w14:textId="77777777">
            <w:pPr>
              <w:pStyle w:val="Tab3MiddleColNonGras"/>
              <w:rPr>
                <w:lang w:val="fr-FR"/>
              </w:rPr>
            </w:pPr>
            <w:r>
              <w:rPr>
                <w:lang w:val="fr-FR"/>
              </w:rPr>
              <w:t>1 538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21C768D" w14:textId="77777777">
            <w:pPr>
              <w:pStyle w:val="Tab3MiddleColNonGras"/>
              <w:rPr>
                <w:lang w:val="fr-FR"/>
              </w:rPr>
            </w:pPr>
            <w:r>
              <w:rPr>
                <w:lang w:val="fr-FR"/>
              </w:rPr>
              <w:t>250 201,84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8FCB459" w14:textId="77777777">
            <w:pPr>
              <w:pStyle w:val="Tab3LastColNonGras"/>
              <w:rPr>
                <w:lang w:val="fr-FR"/>
              </w:rPr>
            </w:pPr>
            <w:r>
              <w:rPr>
                <w:lang w:val="fr-FR"/>
              </w:rPr>
              <w:t>0,07</w:t>
            </w:r>
          </w:p>
        </w:tc>
      </w:tr>
      <w:tr w14:paraId="2C4E0B8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0C53303" w14:textId="77777777">
            <w:pPr>
              <w:pStyle w:val="Tab3FirstColNonGras"/>
              <w:rPr>
                <w:lang w:val="fr-FR"/>
              </w:rPr>
            </w:pPr>
            <w:r>
              <w:rPr>
                <w:lang w:val="fr-FR"/>
              </w:rPr>
              <w:t>DAVIDE CAMPARI-MILANO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842EDD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AABB662" w14:textId="77777777">
            <w:pPr>
              <w:pStyle w:val="Tab3MiddleColNonGras"/>
              <w:rPr>
                <w:lang w:val="fr-FR"/>
              </w:rPr>
            </w:pPr>
            <w:r>
              <w:rPr>
                <w:lang w:val="fr-FR"/>
              </w:rPr>
              <w:t>5 871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880C6EA" w14:textId="77777777">
            <w:pPr>
              <w:pStyle w:val="Tab3MiddleColNonGras"/>
              <w:rPr>
                <w:lang w:val="fr-FR"/>
              </w:rPr>
            </w:pPr>
            <w:r>
              <w:rPr>
                <w:lang w:val="fr-FR"/>
              </w:rPr>
              <w:t>39 351,45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F5BB57A" w14:textId="77777777">
            <w:pPr>
              <w:pStyle w:val="Tab3LastColNonGras"/>
              <w:rPr>
                <w:lang w:val="fr-FR"/>
              </w:rPr>
            </w:pPr>
            <w:r>
              <w:rPr>
                <w:lang w:val="fr-FR"/>
              </w:rPr>
              <w:t>0,01</w:t>
            </w:r>
          </w:p>
        </w:tc>
      </w:tr>
      <w:tr w14:paraId="2DC9B75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91DC802" w14:textId="77777777">
            <w:pPr>
              <w:pStyle w:val="Tab3FirstColNonGras"/>
              <w:rPr>
                <w:lang w:val="fr-FR"/>
              </w:rPr>
            </w:pPr>
            <w:r>
              <w:rPr>
                <w:lang w:val="fr-FR"/>
              </w:rPr>
              <w:t>DIAGEO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68EDFE0"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22F647A" w14:textId="77777777">
            <w:pPr>
              <w:pStyle w:val="Tab3MiddleColNonGras"/>
              <w:rPr>
                <w:lang w:val="fr-FR"/>
              </w:rPr>
            </w:pPr>
            <w:r>
              <w:rPr>
                <w:lang w:val="fr-FR"/>
              </w:rPr>
              <w:t>24 103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F2E5676" w14:textId="77777777">
            <w:pPr>
              <w:pStyle w:val="Tab3MiddleColNonGras"/>
              <w:rPr>
                <w:lang w:val="fr-FR"/>
              </w:rPr>
            </w:pPr>
            <w:r>
              <w:rPr>
                <w:lang w:val="fr-FR"/>
              </w:rPr>
              <w:t>603 784,31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FB7EB46" w14:textId="77777777">
            <w:pPr>
              <w:pStyle w:val="Tab3LastColNonGras"/>
              <w:rPr>
                <w:lang w:val="fr-FR"/>
              </w:rPr>
            </w:pPr>
            <w:r>
              <w:rPr>
                <w:lang w:val="fr-FR"/>
              </w:rPr>
              <w:t>0,18</w:t>
            </w:r>
          </w:p>
        </w:tc>
      </w:tr>
      <w:tr w14:paraId="719C470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E8A84EE" w14:textId="77777777">
            <w:pPr>
              <w:pStyle w:val="Tab3FirstColNonGras"/>
              <w:rPr>
                <w:lang w:val="fr-FR"/>
              </w:rPr>
            </w:pPr>
            <w:r>
              <w:rPr>
                <w:lang w:val="fr-FR"/>
              </w:rPr>
              <w:t>DOORDASH INC -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31A648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68F15C9" w14:textId="77777777">
            <w:pPr>
              <w:pStyle w:val="Tab3MiddleColNonGras"/>
              <w:rPr>
                <w:lang w:val="fr-FR"/>
              </w:rPr>
            </w:pPr>
            <w:r>
              <w:rPr>
                <w:lang w:val="fr-FR"/>
              </w:rPr>
              <w:t>1 771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A43A732" w14:textId="77777777">
            <w:pPr>
              <w:pStyle w:val="Tab3MiddleColNonGras"/>
              <w:rPr>
                <w:lang w:val="fr-FR"/>
              </w:rPr>
            </w:pPr>
            <w:r>
              <w:rPr>
                <w:lang w:val="fr-FR"/>
              </w:rPr>
              <w:t>436 569,21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07207A6" w14:textId="77777777">
            <w:pPr>
              <w:pStyle w:val="Tab3LastColNonGras"/>
              <w:rPr>
                <w:lang w:val="fr-FR"/>
              </w:rPr>
            </w:pPr>
            <w:r>
              <w:rPr>
                <w:lang w:val="fr-FR"/>
              </w:rPr>
              <w:t>0,13</w:t>
            </w:r>
          </w:p>
        </w:tc>
      </w:tr>
      <w:tr w14:paraId="0CB147E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35D4AE2" w14:textId="77777777">
            <w:pPr>
              <w:pStyle w:val="Tab3FirstColNonGras"/>
              <w:rPr>
                <w:lang w:val="fr-FR"/>
              </w:rPr>
            </w:pPr>
            <w:r>
              <w:rPr>
                <w:lang w:val="fr-FR"/>
              </w:rPr>
              <w:t>HEINEKEN HOLDING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D0E7F4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0353244" w14:textId="77777777">
            <w:pPr>
              <w:pStyle w:val="Tab3MiddleColNonGras"/>
              <w:rPr>
                <w:lang w:val="fr-FR"/>
              </w:rPr>
            </w:pPr>
            <w:r>
              <w:rPr>
                <w:lang w:val="fr-FR"/>
              </w:rPr>
              <w:t>324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3D6172D" w14:textId="77777777">
            <w:pPr>
              <w:pStyle w:val="Tab3MiddleColNonGras"/>
              <w:rPr>
                <w:lang w:val="fr-FR"/>
              </w:rPr>
            </w:pPr>
            <w:r>
              <w:rPr>
                <w:lang w:val="fr-FR"/>
              </w:rPr>
              <w:t>24 055,71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743BCDD" w14:textId="77777777">
            <w:pPr>
              <w:pStyle w:val="Tab3LastColNonGras"/>
              <w:rPr>
                <w:lang w:val="fr-FR"/>
              </w:rPr>
            </w:pPr>
            <w:r>
              <w:rPr>
                <w:lang w:val="fr-FR"/>
              </w:rPr>
              <w:t>0,01</w:t>
            </w:r>
          </w:p>
        </w:tc>
      </w:tr>
      <w:tr w14:paraId="5F2A371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81F0AD6" w14:textId="77777777">
            <w:pPr>
              <w:pStyle w:val="Tab3FirstColNonGras"/>
              <w:rPr>
                <w:lang w:val="fr-FR"/>
              </w:rPr>
            </w:pPr>
            <w:r>
              <w:rPr>
                <w:lang w:val="fr-FR"/>
              </w:rPr>
              <w:t>HEINEKEN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9EF588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E243A5D" w14:textId="77777777">
            <w:pPr>
              <w:pStyle w:val="Tab3MiddleColNonGras"/>
              <w:rPr>
                <w:lang w:val="fr-FR"/>
              </w:rPr>
            </w:pPr>
            <w:r>
              <w:rPr>
                <w:lang w:val="fr-FR"/>
              </w:rPr>
              <w:t>629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EDFDD46" w14:textId="77777777">
            <w:pPr>
              <w:pStyle w:val="Tab3MiddleColNonGras"/>
              <w:rPr>
                <w:lang w:val="fr-FR"/>
              </w:rPr>
            </w:pPr>
            <w:r>
              <w:rPr>
                <w:lang w:val="fr-FR"/>
              </w:rPr>
              <w:t>54 652,79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D3897F3" w14:textId="77777777">
            <w:pPr>
              <w:pStyle w:val="Tab3LastColNonGras"/>
              <w:rPr>
                <w:lang w:val="fr-FR"/>
              </w:rPr>
            </w:pPr>
            <w:r>
              <w:rPr>
                <w:lang w:val="fr-FR"/>
              </w:rPr>
              <w:t>0,02</w:t>
            </w:r>
          </w:p>
        </w:tc>
      </w:tr>
      <w:tr w14:paraId="200AF3C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71906A2F" w14:textId="77777777">
            <w:pPr>
              <w:pStyle w:val="Tab3FirstColNonGras"/>
              <w:rPr>
                <w:lang w:val="en-US"/>
              </w:rPr>
            </w:pPr>
            <w:r w:rsidRPr="00D61EB0">
              <w:rPr>
                <w:lang w:val="en-US"/>
              </w:rPr>
              <w:t>MOLSON COORS BEVERAGE CO -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C467E7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76D8825" w14:textId="77777777">
            <w:pPr>
              <w:pStyle w:val="Tab3MiddleColNonGras"/>
              <w:rPr>
                <w:lang w:val="fr-FR"/>
              </w:rPr>
            </w:pPr>
            <w:r>
              <w:rPr>
                <w:lang w:val="fr-FR"/>
              </w:rPr>
              <w:t>446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00CDE23" w14:textId="77777777">
            <w:pPr>
              <w:pStyle w:val="Tab3MiddleColNonGras"/>
              <w:rPr>
                <w:lang w:val="fr-FR"/>
              </w:rPr>
            </w:pPr>
            <w:r>
              <w:rPr>
                <w:lang w:val="fr-FR"/>
              </w:rPr>
              <w:t>21 448,14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8B2D7BC" w14:textId="77777777">
            <w:pPr>
              <w:pStyle w:val="Tab3LastColNonGras"/>
              <w:rPr>
                <w:lang w:val="fr-FR"/>
              </w:rPr>
            </w:pPr>
            <w:r>
              <w:rPr>
                <w:lang w:val="fr-FR"/>
              </w:rPr>
              <w:t>0,01</w:t>
            </w:r>
          </w:p>
        </w:tc>
      </w:tr>
      <w:tr w14:paraId="166D0F8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F37FBA1" w14:textId="77777777">
            <w:pPr>
              <w:pStyle w:val="Tab3FirstColNonGras"/>
              <w:rPr>
                <w:lang w:val="fr-FR"/>
              </w:rPr>
            </w:pPr>
            <w:r>
              <w:rPr>
                <w:lang w:val="fr-FR"/>
              </w:rPr>
              <w:t>MONSTER BEVERAGE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1BD288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0C7AE9C" w14:textId="77777777">
            <w:pPr>
              <w:pStyle w:val="Tab3MiddleColNonGras"/>
              <w:rPr>
                <w:lang w:val="fr-FR"/>
              </w:rPr>
            </w:pPr>
            <w:r>
              <w:rPr>
                <w:lang w:val="fr-FR"/>
              </w:rPr>
              <w:t>7 424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7827709" w14:textId="77777777">
            <w:pPr>
              <w:pStyle w:val="Tab3MiddleColNonGras"/>
              <w:rPr>
                <w:lang w:val="fr-FR"/>
              </w:rPr>
            </w:pPr>
            <w:r>
              <w:rPr>
                <w:lang w:val="fr-FR"/>
              </w:rPr>
              <w:t>465 039,36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31D4F04" w14:textId="77777777">
            <w:pPr>
              <w:pStyle w:val="Tab3LastColNonGras"/>
              <w:rPr>
                <w:lang w:val="fr-FR"/>
              </w:rPr>
            </w:pPr>
            <w:r>
              <w:rPr>
                <w:lang w:val="fr-FR"/>
              </w:rPr>
              <w:t>0,13</w:t>
            </w:r>
          </w:p>
        </w:tc>
      </w:tr>
      <w:tr w14:paraId="7ECDCCE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0F9043C" w14:textId="77777777">
            <w:pPr>
              <w:pStyle w:val="Tab3FirstColNonGras"/>
              <w:rPr>
                <w:lang w:val="fr-FR"/>
              </w:rPr>
            </w:pPr>
            <w:r>
              <w:rPr>
                <w:lang w:val="fr-FR"/>
              </w:rPr>
              <w:t>PERNOD RICARD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C24550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8DDCDB9" w14:textId="77777777">
            <w:pPr>
              <w:pStyle w:val="Tab3MiddleColNonGras"/>
              <w:rPr>
                <w:lang w:val="fr-FR"/>
              </w:rPr>
            </w:pPr>
            <w:r>
              <w:rPr>
                <w:lang w:val="fr-FR"/>
              </w:rPr>
              <w:t>1 829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029FB30" w14:textId="77777777">
            <w:pPr>
              <w:pStyle w:val="Tab3MiddleColNonGras"/>
              <w:rPr>
                <w:lang w:val="fr-FR"/>
              </w:rPr>
            </w:pPr>
            <w:r>
              <w:rPr>
                <w:lang w:val="fr-FR"/>
              </w:rPr>
              <w:t>181 633,80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5963721" w14:textId="77777777">
            <w:pPr>
              <w:pStyle w:val="Tab3LastColNonGras"/>
              <w:rPr>
                <w:lang w:val="fr-FR"/>
              </w:rPr>
            </w:pPr>
            <w:r>
              <w:rPr>
                <w:lang w:val="fr-FR"/>
              </w:rPr>
              <w:t>0,05</w:t>
            </w:r>
          </w:p>
        </w:tc>
      </w:tr>
      <w:tr w14:paraId="73D036B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383A5A36" w14:textId="77777777">
            <w:pPr>
              <w:pStyle w:val="Tab1FirstColGras"/>
              <w:rPr>
                <w:lang w:val="fr-FR"/>
              </w:rPr>
            </w:pPr>
            <w:r>
              <w:rPr>
                <w:lang w:val="fr-FR"/>
              </w:rPr>
              <w:t>Compagnies aériennes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31A3AE8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6F6BFE0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1CFD7C8F" w14:textId="77777777">
            <w:pPr>
              <w:pStyle w:val="Tab1MiddleColGras"/>
              <w:rPr>
                <w:lang w:val="fr-FR"/>
              </w:rPr>
            </w:pPr>
            <w:r>
              <w:rPr>
                <w:lang w:val="fr-FR"/>
              </w:rPr>
              <w:t>342 906,26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3A032F8" w14:textId="77777777">
            <w:pPr>
              <w:pStyle w:val="Tab1LastColGras"/>
              <w:rPr>
                <w:lang w:val="fr-FR"/>
              </w:rPr>
            </w:pPr>
            <w:r>
              <w:rPr>
                <w:lang w:val="fr-FR"/>
              </w:rPr>
              <w:t>0,10</w:t>
            </w:r>
          </w:p>
        </w:tc>
      </w:tr>
      <w:tr w14:paraId="38C15E0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5CF4C5E" w14:textId="77777777">
            <w:pPr>
              <w:pStyle w:val="Tab3FirstColNonGras"/>
              <w:rPr>
                <w:lang w:val="fr-FR"/>
              </w:rPr>
            </w:pPr>
            <w:r>
              <w:rPr>
                <w:lang w:val="fr-FR"/>
              </w:rPr>
              <w:t>OTIS WORLDWIDE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CB175C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F0160DD" w14:textId="77777777">
            <w:pPr>
              <w:pStyle w:val="Tab3MiddleColNonGras"/>
              <w:rPr>
                <w:lang w:val="fr-FR"/>
              </w:rPr>
            </w:pPr>
            <w:r>
              <w:rPr>
                <w:lang w:val="fr-FR"/>
              </w:rPr>
              <w:t>3 463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2EDCFE3" w14:textId="77777777">
            <w:pPr>
              <w:pStyle w:val="Tab3MiddleColNonGras"/>
              <w:rPr>
                <w:lang w:val="fr-FR"/>
              </w:rPr>
            </w:pPr>
            <w:r>
              <w:rPr>
                <w:lang w:val="fr-FR"/>
              </w:rPr>
              <w:t>342 906,26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84CE385" w14:textId="77777777">
            <w:pPr>
              <w:pStyle w:val="Tab3LastColNonGras"/>
              <w:rPr>
                <w:lang w:val="fr-FR"/>
              </w:rPr>
            </w:pPr>
            <w:r>
              <w:rPr>
                <w:lang w:val="fr-FR"/>
              </w:rPr>
              <w:t>0,10</w:t>
            </w:r>
          </w:p>
        </w:tc>
      </w:tr>
      <w:tr w14:paraId="401898F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6D4114EC" w14:textId="77777777">
            <w:pPr>
              <w:pStyle w:val="Tab1FirstColGras"/>
              <w:rPr>
                <w:lang w:val="fr-FR"/>
              </w:rPr>
            </w:pPr>
            <w:r>
              <w:rPr>
                <w:lang w:val="fr-FR"/>
              </w:rPr>
              <w:t>Composants automobiles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74CC8E8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6684C75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0EE0C0B5" w14:textId="77777777">
            <w:pPr>
              <w:pStyle w:val="Tab1MiddleColGras"/>
              <w:rPr>
                <w:lang w:val="fr-FR"/>
              </w:rPr>
            </w:pPr>
            <w:r>
              <w:rPr>
                <w:lang w:val="fr-FR"/>
              </w:rPr>
              <w:t>709 213,41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F4DA0A4" w14:textId="77777777">
            <w:pPr>
              <w:pStyle w:val="Tab1LastColGras"/>
              <w:rPr>
                <w:lang w:val="fr-FR"/>
              </w:rPr>
            </w:pPr>
            <w:r>
              <w:rPr>
                <w:lang w:val="fr-FR"/>
              </w:rPr>
              <w:t>0,20</w:t>
            </w:r>
          </w:p>
        </w:tc>
      </w:tr>
      <w:tr w14:paraId="28325F7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AB0BFA1" w14:textId="77777777">
            <w:pPr>
              <w:pStyle w:val="Tab3FirstColNonGras"/>
              <w:rPr>
                <w:lang w:val="fr-FR"/>
              </w:rPr>
            </w:pPr>
            <w:r>
              <w:rPr>
                <w:lang w:val="fr-FR"/>
              </w:rPr>
              <w:t>FERRARI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9B4480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43CD5EA" w14:textId="77777777">
            <w:pPr>
              <w:pStyle w:val="Tab3MiddleColNonGras"/>
              <w:rPr>
                <w:lang w:val="fr-FR"/>
              </w:rPr>
            </w:pPr>
            <w:r>
              <w:rPr>
                <w:lang w:val="fr-FR"/>
              </w:rPr>
              <w:t>1 452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CE75EE1" w14:textId="77777777">
            <w:pPr>
              <w:pStyle w:val="Tab3MiddleColNonGras"/>
              <w:rPr>
                <w:lang w:val="fr-FR"/>
              </w:rPr>
            </w:pPr>
            <w:r>
              <w:rPr>
                <w:lang w:val="fr-FR"/>
              </w:rPr>
              <w:t>709 213,41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32FB4A8" w14:textId="77777777">
            <w:pPr>
              <w:pStyle w:val="Tab3LastColNonGras"/>
              <w:rPr>
                <w:lang w:val="fr-FR"/>
              </w:rPr>
            </w:pPr>
            <w:r>
              <w:rPr>
                <w:lang w:val="fr-FR"/>
              </w:rPr>
              <w:t>0,20</w:t>
            </w:r>
          </w:p>
        </w:tc>
      </w:tr>
      <w:tr w14:paraId="351D90B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2F85D258" w14:textId="77777777">
            <w:pPr>
              <w:pStyle w:val="Tab1FirstColGras"/>
              <w:rPr>
                <w:lang w:val="fr-FR"/>
              </w:rPr>
            </w:pPr>
            <w:r>
              <w:rPr>
                <w:lang w:val="fr-FR"/>
              </w:rPr>
              <w:t>Conglomérats industriels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3BE3399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724EB2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7E5D67AA" w14:textId="77777777">
            <w:pPr>
              <w:pStyle w:val="Tab1MiddleColGras"/>
              <w:rPr>
                <w:lang w:val="fr-FR"/>
              </w:rPr>
            </w:pPr>
            <w:r>
              <w:rPr>
                <w:lang w:val="fr-FR"/>
              </w:rPr>
              <w:t>1 370 176,00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05EEFAC" w14:textId="77777777">
            <w:pPr>
              <w:pStyle w:val="Tab1LastColGras"/>
              <w:rPr>
                <w:lang w:val="fr-FR"/>
              </w:rPr>
            </w:pPr>
            <w:r>
              <w:rPr>
                <w:lang w:val="fr-FR"/>
              </w:rPr>
              <w:t>0,39</w:t>
            </w:r>
          </w:p>
        </w:tc>
      </w:tr>
      <w:tr w14:paraId="4F4BF7E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A44D621" w14:textId="77777777">
            <w:pPr>
              <w:pStyle w:val="Tab3FirstColNonGras"/>
              <w:rPr>
                <w:lang w:val="fr-FR"/>
              </w:rPr>
            </w:pPr>
            <w:r>
              <w:rPr>
                <w:lang w:val="fr-FR"/>
              </w:rPr>
              <w:t>CARLISLE COS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DD7852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01D23B4" w14:textId="77777777">
            <w:pPr>
              <w:pStyle w:val="Tab3MiddleColNonGras"/>
              <w:rPr>
                <w:lang w:val="fr-FR"/>
              </w:rPr>
            </w:pPr>
            <w:r>
              <w:rPr>
                <w:lang w:val="fr-FR"/>
              </w:rPr>
              <w:t>101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8EFA31B" w14:textId="77777777">
            <w:pPr>
              <w:pStyle w:val="Tab3MiddleColNonGras"/>
              <w:rPr>
                <w:lang w:val="fr-FR"/>
              </w:rPr>
            </w:pPr>
            <w:r>
              <w:rPr>
                <w:lang w:val="fr-FR"/>
              </w:rPr>
              <w:t>37 713,40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C51202A" w14:textId="77777777">
            <w:pPr>
              <w:pStyle w:val="Tab3LastColNonGras"/>
              <w:rPr>
                <w:lang w:val="fr-FR"/>
              </w:rPr>
            </w:pPr>
            <w:r>
              <w:rPr>
                <w:lang w:val="fr-FR"/>
              </w:rPr>
              <w:t>0,01</w:t>
            </w:r>
          </w:p>
        </w:tc>
      </w:tr>
      <w:tr w14:paraId="0DB5C36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0720A26" w14:textId="77777777">
            <w:pPr>
              <w:pStyle w:val="Tab3FirstColNonGras"/>
              <w:rPr>
                <w:lang w:val="fr-FR"/>
              </w:rPr>
            </w:pPr>
            <w:r>
              <w:rPr>
                <w:lang w:val="fr-FR"/>
              </w:rPr>
              <w:t>HANKYU HANSHIN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1FC143F"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EA17074" w14:textId="77777777">
            <w:pPr>
              <w:pStyle w:val="Tab3MiddleColNonGras"/>
              <w:rPr>
                <w:lang w:val="fr-FR"/>
              </w:rPr>
            </w:pPr>
            <w:r>
              <w:rPr>
                <w:lang w:val="fr-FR"/>
              </w:rPr>
              <w:t>2 800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263FB7D" w14:textId="77777777">
            <w:pPr>
              <w:pStyle w:val="Tab3MiddleColNonGras"/>
              <w:rPr>
                <w:lang w:val="fr-FR"/>
              </w:rPr>
            </w:pPr>
            <w:r>
              <w:rPr>
                <w:lang w:val="fr-FR"/>
              </w:rPr>
              <w:t>75 987,41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0B3D317" w14:textId="77777777">
            <w:pPr>
              <w:pStyle w:val="Tab3LastColNonGras"/>
              <w:rPr>
                <w:lang w:val="fr-FR"/>
              </w:rPr>
            </w:pPr>
            <w:r>
              <w:rPr>
                <w:lang w:val="fr-FR"/>
              </w:rPr>
              <w:t>0,02</w:t>
            </w:r>
          </w:p>
        </w:tc>
      </w:tr>
      <w:tr w14:paraId="44E618A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115A95A" w14:textId="77777777">
            <w:pPr>
              <w:pStyle w:val="Tab3FirstColNonGras"/>
              <w:rPr>
                <w:lang w:val="fr-FR"/>
              </w:rPr>
            </w:pPr>
            <w:r>
              <w:rPr>
                <w:lang w:val="fr-FR"/>
              </w:rPr>
              <w:t>ORKLA ASA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70E8E65" w14:textId="77777777">
            <w:pPr>
              <w:pStyle w:val="Tab1MiddleColNonGrasCentre"/>
              <w:rPr>
                <w:lang w:val="fr-FR"/>
              </w:rPr>
            </w:pPr>
            <w:r>
              <w:rPr>
                <w:lang w:val="fr-FR"/>
              </w:rPr>
              <w:t>NOK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479665C" w14:textId="77777777">
            <w:pPr>
              <w:pStyle w:val="Tab3MiddleColNonGras"/>
              <w:rPr>
                <w:lang w:val="fr-FR"/>
              </w:rPr>
            </w:pPr>
            <w:r>
              <w:rPr>
                <w:lang w:val="fr-FR"/>
              </w:rPr>
              <w:t>1 810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058B951" w14:textId="77777777">
            <w:pPr>
              <w:pStyle w:val="Tab3MiddleColNonGras"/>
              <w:rPr>
                <w:lang w:val="fr-FR"/>
              </w:rPr>
            </w:pPr>
            <w:r>
              <w:rPr>
                <w:lang w:val="fr-FR"/>
              </w:rPr>
              <w:t>19 602,89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6CA2B25" w14:textId="77777777">
            <w:pPr>
              <w:pStyle w:val="Tab3LastColNonGras"/>
              <w:rPr>
                <w:lang w:val="fr-FR"/>
              </w:rPr>
            </w:pPr>
            <w:r>
              <w:rPr>
                <w:lang w:val="fr-FR"/>
              </w:rPr>
              <w:t>0,01</w:t>
            </w:r>
          </w:p>
        </w:tc>
      </w:tr>
      <w:tr w14:paraId="719E603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A4CECBA" w14:textId="77777777">
            <w:pPr>
              <w:pStyle w:val="Tab3FirstColNonGras"/>
              <w:rPr>
                <w:lang w:val="fr-FR"/>
              </w:rPr>
            </w:pPr>
            <w:r>
              <w:rPr>
                <w:lang w:val="fr-FR"/>
              </w:rPr>
              <w:t>ROPER TECHNOLOGIES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422738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8B7320D" w14:textId="77777777">
            <w:pPr>
              <w:pStyle w:val="Tab3MiddleColNonGras"/>
              <w:rPr>
                <w:lang w:val="fr-FR"/>
              </w:rPr>
            </w:pPr>
            <w:r>
              <w:rPr>
                <w:lang w:val="fr-FR"/>
              </w:rPr>
              <w:t>531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707EA0C" w14:textId="77777777">
            <w:pPr>
              <w:pStyle w:val="Tab3MiddleColNonGras"/>
              <w:rPr>
                <w:lang w:val="fr-FR"/>
              </w:rPr>
            </w:pPr>
            <w:r>
              <w:rPr>
                <w:lang w:val="fr-FR"/>
              </w:rPr>
              <w:t>300 992,04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5AAB995" w14:textId="77777777">
            <w:pPr>
              <w:pStyle w:val="Tab3LastColNonGras"/>
              <w:rPr>
                <w:lang w:val="fr-FR"/>
              </w:rPr>
            </w:pPr>
            <w:r>
              <w:rPr>
                <w:lang w:val="fr-FR"/>
              </w:rPr>
              <w:t>0,09</w:t>
            </w:r>
          </w:p>
        </w:tc>
      </w:tr>
      <w:tr w14:paraId="3C2D441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3DD3A8C" w14:textId="77777777">
            <w:pPr>
              <w:pStyle w:val="Tab3FirstColNonGras"/>
              <w:rPr>
                <w:lang w:val="fr-FR"/>
              </w:rPr>
            </w:pPr>
            <w:r>
              <w:rPr>
                <w:lang w:val="fr-FR"/>
              </w:rPr>
              <w:t>SIEMENS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91C0BB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3FA32D1" w14:textId="77777777">
            <w:pPr>
              <w:pStyle w:val="Tab3MiddleColNonGras"/>
              <w:rPr>
                <w:lang w:val="fr-FR"/>
              </w:rPr>
            </w:pPr>
            <w:r>
              <w:rPr>
                <w:lang w:val="fr-FR"/>
              </w:rPr>
              <w:t>3 606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07C2C68" w14:textId="77777777">
            <w:pPr>
              <w:pStyle w:val="Tab3MiddleColNonGras"/>
              <w:rPr>
                <w:lang w:val="fr-FR"/>
              </w:rPr>
            </w:pPr>
            <w:r>
              <w:rPr>
                <w:lang w:val="fr-FR"/>
              </w:rPr>
              <w:t>921 291,36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6C05944" w14:textId="77777777">
            <w:pPr>
              <w:pStyle w:val="Tab3LastColNonGras"/>
              <w:rPr>
                <w:lang w:val="fr-FR"/>
              </w:rPr>
            </w:pPr>
            <w:r>
              <w:rPr>
                <w:lang w:val="fr-FR"/>
              </w:rPr>
              <w:t>0,26</w:t>
            </w:r>
          </w:p>
        </w:tc>
      </w:tr>
      <w:tr w14:paraId="35FB7F1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F9B1881" w14:textId="77777777">
            <w:pPr>
              <w:pStyle w:val="Tab3FirstColNonGras"/>
              <w:rPr>
                <w:lang w:val="fr-FR"/>
              </w:rPr>
            </w:pPr>
            <w:r>
              <w:rPr>
                <w:lang w:val="fr-FR"/>
              </w:rPr>
              <w:t>SMITHS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C07CC07"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22B071B" w14:textId="77777777">
            <w:pPr>
              <w:pStyle w:val="Tab3MiddleColNonGras"/>
              <w:rPr>
                <w:lang w:val="fr-FR"/>
              </w:rPr>
            </w:pPr>
            <w:r>
              <w:rPr>
                <w:lang w:val="fr-FR"/>
              </w:rPr>
              <w:t>474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7BC5347" w14:textId="77777777">
            <w:pPr>
              <w:pStyle w:val="Tab3MiddleColNonGras"/>
              <w:rPr>
                <w:lang w:val="fr-FR"/>
              </w:rPr>
            </w:pPr>
            <w:r>
              <w:rPr>
                <w:lang w:val="fr-FR"/>
              </w:rPr>
              <w:t>14 588,90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ED394AD" w14:textId="77777777">
            <w:pPr>
              <w:pStyle w:val="Tab3LastColNonGras"/>
              <w:rPr>
                <w:lang w:val="fr-FR"/>
              </w:rPr>
            </w:pPr>
            <w:r>
              <w:rPr>
                <w:lang w:val="fr-FR"/>
              </w:rPr>
              <w:t>0,00</w:t>
            </w:r>
          </w:p>
        </w:tc>
      </w:tr>
    </w:tbl>
    <w:p w:rsidR="001F4AEE" w14:paraId="0C46C7A9" w14:textId="77777777">
      <w:pPr>
        <w:sectPr>
          <w:headerReference w:type="default" r:id="rId26"/>
          <w:footerReference w:type="default" r:id="rId27"/>
          <w:pgSz w:w="11900" w:h="16840"/>
          <w:pgMar w:top="2154" w:right="1134" w:bottom="1134" w:left="1134" w:header="400" w:footer="400" w:gutter="0"/>
          <w:cols w:space="720"/>
        </w:sectPr>
      </w:pPr>
    </w:p>
    <w:p w:rsidR="001F4AEE" w14:paraId="12664403" w14:textId="77777777">
      <w:pPr>
        <w:spacing w:line="30" w:lineRule="exact"/>
        <w:rPr>
          <w:sz w:val="3"/>
        </w:rPr>
      </w:pPr>
    </w:p>
    <w:p w:rsidR="001F4AEE" w14:paraId="784BE19B" w14:textId="77777777">
      <w:pPr>
        <w:pStyle w:val="TechnicalBookmark"/>
        <w:rPr>
          <w:lang w:val="fr-FR"/>
        </w:rPr>
      </w:pPr>
      <w:r>
        <w:rPr>
          <w:lang w:val="fr-FR"/>
        </w:rPr>
        <w:fldChar w:fldCharType="begin"/>
      </w:r>
      <w:r>
        <w:rPr>
          <w:lang w:val="fr-FR"/>
        </w:rPr>
        <w:instrText xml:space="preserve"> SET A048F1486C1B6DB4552AF8499DB9E667 "" </w:instrText>
      </w:r>
      <w:r>
        <w:rPr>
          <w:lang w:val="fr-FR"/>
        </w:rPr>
        <w:fldChar w:fldCharType="separate"/>
      </w:r>
      <w:bookmarkStart w:id="82" w:name="A048F1486C1B6DB4552AF8499DB9E667"/>
      <w:bookmarkEnd w:id="82"/>
      <w:r>
        <w:rPr>
          <w:lang w:val="fr-FR"/>
        </w:rPr>
        <w:fldChar w:fldCharType="end"/>
      </w:r>
    </w:p>
    <w:p w:rsidR="001F4AEE" w14:paraId="121AF232" w14:textId="77777777">
      <w:pPr>
        <w:pStyle w:val="H2"/>
        <w:rPr>
          <w:lang w:val="fr-FR"/>
        </w:rPr>
      </w:pPr>
      <w:r>
        <w:rPr>
          <w:lang w:val="fr-FR"/>
        </w:rPr>
        <w:t xml:space="preserve">Inventaire des éléments de bilan </w:t>
      </w:r>
    </w:p>
    <w:p w:rsidR="001F4AEE" w14:paraId="2ECA1772" w14:textId="77777777">
      <w:pPr>
        <w:pStyle w:val="NoRefToc"/>
        <w:rPr>
          <w:lang w:val="fr-FR"/>
        </w:rPr>
      </w:pPr>
    </w:p>
    <w:p w:rsidR="001F4AEE" w14:paraId="19F23B7F" w14:textId="77777777">
      <w:pPr>
        <w:pStyle w:val="TechnicalBookmark"/>
        <w:rPr>
          <w:lang w:val="fr-FR"/>
        </w:rPr>
      </w:pPr>
      <w:r>
        <w:rPr>
          <w:lang w:val="fr-FR"/>
        </w:rPr>
        <w:fldChar w:fldCharType="begin"/>
      </w:r>
      <w:r>
        <w:rPr>
          <w:lang w:val="fr-FR"/>
        </w:rPr>
        <w:instrText xml:space="preserve"> SET 3CFB754149D5645E7BC4ED42AAB8D11D "" </w:instrText>
      </w:r>
      <w:r>
        <w:rPr>
          <w:lang w:val="fr-FR"/>
        </w:rPr>
        <w:fldChar w:fldCharType="separate"/>
      </w:r>
      <w:bookmarkStart w:id="83" w:name="3CFB754149D5645E7BC4ED42AAB8D11D"/>
      <w:bookmarkEnd w:id="83"/>
      <w:r>
        <w:rPr>
          <w:lang w:val="fr-FR"/>
        </w:rPr>
        <w:fldChar w:fldCharType="end"/>
      </w:r>
    </w:p>
    <w:p w:rsidR="001F4AEE" w14:paraId="7CE12AC2"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77E9D4C1"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65325A72"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7C4BEEC"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31DD5913" w14:textId="77777777">
            <w:pPr>
              <w:pStyle w:val="EnteteTabMiddleColBordure"/>
              <w:spacing w:line="184" w:lineRule="exact"/>
              <w:rPr>
                <w:lang w:val="fr-FR"/>
              </w:rPr>
            </w:pPr>
            <w:r>
              <w:rPr>
                <w:lang w:val="fr-FR"/>
              </w:rPr>
              <w:t>Quantité ou</w:t>
            </w:r>
          </w:p>
          <w:p w:rsidR="001F4AEE" w14:paraId="13AEF29D"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399E3A2A"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062A41E4" w14:textId="77777777">
            <w:pPr>
              <w:pStyle w:val="EnteteTabLastColBordure"/>
              <w:spacing w:line="184" w:lineRule="exact"/>
              <w:rPr>
                <w:lang w:val="fr-FR"/>
              </w:rPr>
            </w:pPr>
            <w:r>
              <w:rPr>
                <w:lang w:val="fr-FR"/>
              </w:rPr>
              <w:t>% Actif</w:t>
            </w:r>
          </w:p>
          <w:p w:rsidR="001F4AEE" w14:paraId="1E2E7922" w14:textId="77777777">
            <w:pPr>
              <w:pStyle w:val="EnteteTabLastColBordure"/>
              <w:spacing w:line="184" w:lineRule="exact"/>
              <w:rPr>
                <w:lang w:val="fr-FR"/>
              </w:rPr>
            </w:pPr>
            <w:r>
              <w:rPr>
                <w:lang w:val="fr-FR"/>
              </w:rPr>
              <w:t>Net</w:t>
            </w:r>
          </w:p>
        </w:tc>
      </w:tr>
      <w:tr w14:paraId="5006C60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6093F449" w14:textId="77777777">
            <w:pPr>
              <w:pStyle w:val="Tab1FirstColGras"/>
              <w:rPr>
                <w:lang w:val="fr-FR"/>
              </w:rPr>
            </w:pPr>
            <w:r>
              <w:rPr>
                <w:lang w:val="fr-FR"/>
              </w:rPr>
              <w:t>Construction et ingénierie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270F7E3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86AF5A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5A5FCFED" w14:textId="77777777">
            <w:pPr>
              <w:pStyle w:val="Tab1MiddleColGras"/>
              <w:rPr>
                <w:lang w:val="fr-FR"/>
              </w:rPr>
            </w:pPr>
            <w:r>
              <w:rPr>
                <w:lang w:val="fr-FR"/>
              </w:rPr>
              <w:t>1 682 170,24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8B8AE63" w14:textId="77777777">
            <w:pPr>
              <w:pStyle w:val="Tab1LastColGras"/>
              <w:rPr>
                <w:lang w:val="fr-FR"/>
              </w:rPr>
            </w:pPr>
            <w:r>
              <w:rPr>
                <w:lang w:val="fr-FR"/>
              </w:rPr>
              <w:t>0,48</w:t>
            </w:r>
          </w:p>
        </w:tc>
      </w:tr>
      <w:tr w14:paraId="48DE97D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EE81858" w14:textId="77777777">
            <w:pPr>
              <w:pStyle w:val="Tab3FirstColNonGras"/>
              <w:rPr>
                <w:lang w:val="fr-FR"/>
              </w:rPr>
            </w:pPr>
            <w:r>
              <w:rPr>
                <w:lang w:val="fr-FR"/>
              </w:rPr>
              <w:t>ACCIONA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8FAAFF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43DD2A6" w14:textId="77777777">
            <w:pPr>
              <w:pStyle w:val="Tab3MiddleColNonGras"/>
              <w:rPr>
                <w:lang w:val="fr-FR"/>
              </w:rPr>
            </w:pPr>
            <w:r>
              <w:rPr>
                <w:lang w:val="fr-FR"/>
              </w:rPr>
              <w:t>697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2C7196D" w14:textId="77777777">
            <w:pPr>
              <w:pStyle w:val="Tab3MiddleColNonGras"/>
              <w:rPr>
                <w:lang w:val="fr-FR"/>
              </w:rPr>
            </w:pPr>
            <w:r>
              <w:rPr>
                <w:lang w:val="fr-FR"/>
              </w:rPr>
              <w:t>125 016,90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B272C63" w14:textId="77777777">
            <w:pPr>
              <w:pStyle w:val="Tab3LastColNonGras"/>
              <w:rPr>
                <w:lang w:val="fr-FR"/>
              </w:rPr>
            </w:pPr>
            <w:r>
              <w:rPr>
                <w:lang w:val="fr-FR"/>
              </w:rPr>
              <w:t>0,04</w:t>
            </w:r>
          </w:p>
        </w:tc>
      </w:tr>
      <w:tr w14:paraId="3B9F864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E7531E9" w14:textId="77777777">
            <w:pPr>
              <w:pStyle w:val="Tab3FirstColNonGras"/>
              <w:rPr>
                <w:lang w:val="fr-FR"/>
              </w:rPr>
            </w:pPr>
            <w:r>
              <w:rPr>
                <w:lang w:val="fr-FR"/>
              </w:rPr>
              <w:t>ACS ACTIVIDADES CONS Y SERV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10880B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E3E30B1" w14:textId="77777777">
            <w:pPr>
              <w:pStyle w:val="Tab3MiddleColNonGras"/>
              <w:rPr>
                <w:lang w:val="fr-FR"/>
              </w:rPr>
            </w:pPr>
            <w:r>
              <w:rPr>
                <w:lang w:val="fr-FR"/>
              </w:rPr>
              <w:t>601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2DEABBB" w14:textId="77777777">
            <w:pPr>
              <w:pStyle w:val="Tab3MiddleColNonGras"/>
              <w:rPr>
                <w:lang w:val="fr-FR"/>
              </w:rPr>
            </w:pPr>
            <w:r>
              <w:rPr>
                <w:lang w:val="fr-FR"/>
              </w:rPr>
              <w:t>41 588,27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36EC59A" w14:textId="77777777">
            <w:pPr>
              <w:pStyle w:val="Tab3LastColNonGras"/>
              <w:rPr>
                <w:lang w:val="fr-FR"/>
              </w:rPr>
            </w:pPr>
            <w:r>
              <w:rPr>
                <w:lang w:val="fr-FR"/>
              </w:rPr>
              <w:t>0,01</w:t>
            </w:r>
          </w:p>
        </w:tc>
      </w:tr>
      <w:tr w14:paraId="0A067DE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1EF40C2" w14:textId="77777777">
            <w:pPr>
              <w:pStyle w:val="Tab3FirstColNonGras"/>
              <w:rPr>
                <w:lang w:val="fr-FR"/>
              </w:rPr>
            </w:pPr>
            <w:r>
              <w:rPr>
                <w:lang w:val="fr-FR"/>
              </w:rPr>
              <w:t>DR HORTON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294530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F430E3D" w14:textId="77777777">
            <w:pPr>
              <w:pStyle w:val="Tab3MiddleColNonGras"/>
              <w:rPr>
                <w:lang w:val="fr-FR"/>
              </w:rPr>
            </w:pPr>
            <w:r>
              <w:rPr>
                <w:lang w:val="fr-FR"/>
              </w:rPr>
              <w:t>632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A85FEF3" w14:textId="77777777">
            <w:pPr>
              <w:pStyle w:val="Tab3MiddleColNonGras"/>
              <w:rPr>
                <w:lang w:val="fr-FR"/>
              </w:rPr>
            </w:pPr>
            <w:r>
              <w:rPr>
                <w:lang w:val="fr-FR"/>
              </w:rPr>
              <w:t>81 477,44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1927104" w14:textId="77777777">
            <w:pPr>
              <w:pStyle w:val="Tab3LastColNonGras"/>
              <w:rPr>
                <w:lang w:val="fr-FR"/>
              </w:rPr>
            </w:pPr>
            <w:r>
              <w:rPr>
                <w:lang w:val="fr-FR"/>
              </w:rPr>
              <w:t>0,02</w:t>
            </w:r>
          </w:p>
        </w:tc>
      </w:tr>
      <w:tr w14:paraId="77145A7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618930F" w14:textId="77777777">
            <w:pPr>
              <w:pStyle w:val="Tab3FirstColNonGras"/>
              <w:rPr>
                <w:lang w:val="fr-FR"/>
              </w:rPr>
            </w:pPr>
            <w:r>
              <w:rPr>
                <w:lang w:val="fr-FR"/>
              </w:rPr>
              <w:t>EIFFAGE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7CE6A4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4CF4E93" w14:textId="77777777">
            <w:pPr>
              <w:pStyle w:val="Tab3MiddleColNonGras"/>
              <w:rPr>
                <w:lang w:val="fr-FR"/>
              </w:rPr>
            </w:pPr>
            <w:r>
              <w:rPr>
                <w:lang w:val="fr-FR"/>
              </w:rPr>
              <w:t>181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0064D1F" w14:textId="77777777">
            <w:pPr>
              <w:pStyle w:val="Tab3MiddleColNonGras"/>
              <w:rPr>
                <w:lang w:val="fr-FR"/>
              </w:rPr>
            </w:pPr>
            <w:r>
              <w:rPr>
                <w:lang w:val="fr-FR"/>
              </w:rPr>
              <w:t>25 336,67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CC97182" w14:textId="77777777">
            <w:pPr>
              <w:pStyle w:val="Tab3LastColNonGras"/>
              <w:rPr>
                <w:lang w:val="fr-FR"/>
              </w:rPr>
            </w:pPr>
            <w:r>
              <w:rPr>
                <w:lang w:val="fr-FR"/>
              </w:rPr>
              <w:t>0,01</w:t>
            </w:r>
          </w:p>
        </w:tc>
      </w:tr>
      <w:tr w14:paraId="52C473A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2E0A4E8" w14:textId="77777777">
            <w:pPr>
              <w:pStyle w:val="Tab3FirstColNonGras"/>
              <w:rPr>
                <w:lang w:val="fr-FR"/>
              </w:rPr>
            </w:pPr>
            <w:r>
              <w:rPr>
                <w:lang w:val="fr-FR"/>
              </w:rPr>
              <w:t>KAJIMA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F235256"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91AA952" w14:textId="77777777">
            <w:pPr>
              <w:pStyle w:val="Tab3MiddleColNonGras"/>
              <w:rPr>
                <w:lang w:val="fr-FR"/>
              </w:rPr>
            </w:pPr>
            <w:r>
              <w:rPr>
                <w:lang w:val="fr-FR"/>
              </w:rPr>
              <w:t>1 100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EDEA733" w14:textId="77777777">
            <w:pPr>
              <w:pStyle w:val="Tab3MiddleColNonGras"/>
              <w:rPr>
                <w:lang w:val="fr-FR"/>
              </w:rPr>
            </w:pPr>
            <w:r>
              <w:rPr>
                <w:lang w:val="fr-FR"/>
              </w:rPr>
              <w:t>28 656,58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EC12564" w14:textId="77777777">
            <w:pPr>
              <w:pStyle w:val="Tab3LastColNonGras"/>
              <w:rPr>
                <w:lang w:val="fr-FR"/>
              </w:rPr>
            </w:pPr>
            <w:r>
              <w:rPr>
                <w:lang w:val="fr-FR"/>
              </w:rPr>
              <w:t>0,01</w:t>
            </w:r>
          </w:p>
        </w:tc>
      </w:tr>
      <w:tr w14:paraId="56B40A1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596818C" w14:textId="77777777">
            <w:pPr>
              <w:pStyle w:val="Tab3FirstColNonGras"/>
              <w:rPr>
                <w:lang w:val="fr-FR"/>
              </w:rPr>
            </w:pPr>
            <w:r>
              <w:rPr>
                <w:lang w:val="fr-FR"/>
              </w:rPr>
              <w:t>OBAYASHI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9F4BF90"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D65B9C7" w14:textId="77777777">
            <w:pPr>
              <w:pStyle w:val="Tab3MiddleColNonGras"/>
              <w:rPr>
                <w:lang w:val="fr-FR"/>
              </w:rPr>
            </w:pPr>
            <w:r>
              <w:rPr>
                <w:lang w:val="fr-FR"/>
              </w:rPr>
              <w:t>2 100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294BF31" w14:textId="77777777">
            <w:pPr>
              <w:pStyle w:val="Tab3MiddleColNonGras"/>
              <w:rPr>
                <w:lang w:val="fr-FR"/>
              </w:rPr>
            </w:pPr>
            <w:r>
              <w:rPr>
                <w:lang w:val="fr-FR"/>
              </w:rPr>
              <w:t>31 773,69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F77819B" w14:textId="77777777">
            <w:pPr>
              <w:pStyle w:val="Tab3LastColNonGras"/>
              <w:rPr>
                <w:lang w:val="fr-FR"/>
              </w:rPr>
            </w:pPr>
            <w:r>
              <w:rPr>
                <w:lang w:val="fr-FR"/>
              </w:rPr>
              <w:t>0,01</w:t>
            </w:r>
          </w:p>
        </w:tc>
      </w:tr>
      <w:tr w14:paraId="0210686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3F44569" w14:textId="77777777">
            <w:pPr>
              <w:pStyle w:val="Tab3FirstColNonGras"/>
              <w:rPr>
                <w:lang w:val="fr-FR"/>
              </w:rPr>
            </w:pPr>
            <w:r>
              <w:rPr>
                <w:lang w:val="fr-FR"/>
              </w:rPr>
              <w:t>QUANTA SERVICES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D17AF4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0ACF4DC" w14:textId="77777777">
            <w:pPr>
              <w:pStyle w:val="Tab3MiddleColNonGras"/>
              <w:rPr>
                <w:lang w:val="fr-FR"/>
              </w:rPr>
            </w:pPr>
            <w:r>
              <w:rPr>
                <w:lang w:val="fr-FR"/>
              </w:rPr>
              <w:t>3 434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63A9E99" w14:textId="77777777">
            <w:pPr>
              <w:pStyle w:val="Tab3MiddleColNonGras"/>
              <w:rPr>
                <w:lang w:val="fr-FR"/>
              </w:rPr>
            </w:pPr>
            <w:r>
              <w:rPr>
                <w:lang w:val="fr-FR"/>
              </w:rPr>
              <w:t>1 298 326,72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1E32508" w14:textId="77777777">
            <w:pPr>
              <w:pStyle w:val="Tab3LastColNonGras"/>
              <w:rPr>
                <w:lang w:val="fr-FR"/>
              </w:rPr>
            </w:pPr>
            <w:r>
              <w:rPr>
                <w:lang w:val="fr-FR"/>
              </w:rPr>
              <w:t>0,36</w:t>
            </w:r>
          </w:p>
        </w:tc>
      </w:tr>
      <w:tr w14:paraId="51957DA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A819EEB" w14:textId="77777777">
            <w:pPr>
              <w:pStyle w:val="Tab3FirstColNonGras"/>
              <w:rPr>
                <w:lang w:val="fr-FR"/>
              </w:rPr>
            </w:pPr>
            <w:r>
              <w:rPr>
                <w:lang w:val="fr-FR"/>
              </w:rPr>
              <w:t>SKANSKA AB  SER'B'SEK10 LIBRE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9BA7EFF"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2A6E8D6" w14:textId="77777777">
            <w:pPr>
              <w:pStyle w:val="Tab3MiddleColNonGras"/>
              <w:rPr>
                <w:lang w:val="fr-FR"/>
              </w:rPr>
            </w:pPr>
            <w:r>
              <w:rPr>
                <w:lang w:val="fr-FR"/>
              </w:rPr>
              <w:t>1 157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83F184F" w14:textId="77777777">
            <w:pPr>
              <w:pStyle w:val="Tab3MiddleColNonGras"/>
              <w:rPr>
                <w:lang w:val="fr-FR"/>
              </w:rPr>
            </w:pPr>
            <w:r>
              <w:rPr>
                <w:lang w:val="fr-FR"/>
              </w:rPr>
              <w:t>26 732,52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7945BE0" w14:textId="77777777">
            <w:pPr>
              <w:pStyle w:val="Tab3LastColNonGras"/>
              <w:rPr>
                <w:lang w:val="fr-FR"/>
              </w:rPr>
            </w:pPr>
            <w:r>
              <w:rPr>
                <w:lang w:val="fr-FR"/>
              </w:rPr>
              <w:t>0,01</w:t>
            </w:r>
          </w:p>
        </w:tc>
      </w:tr>
      <w:tr w14:paraId="0A527EE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F029BB3" w14:textId="77777777">
            <w:pPr>
              <w:pStyle w:val="Tab3FirstColNonGras"/>
              <w:rPr>
                <w:lang w:val="fr-FR"/>
              </w:rPr>
            </w:pPr>
            <w:r>
              <w:rPr>
                <w:lang w:val="fr-FR"/>
              </w:rPr>
              <w:t>TAISEI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21C2407"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C9F0014" w14:textId="77777777">
            <w:pPr>
              <w:pStyle w:val="Tab3MiddleColNonGras"/>
              <w:rPr>
                <w:lang w:val="fr-FR"/>
              </w:rPr>
            </w:pPr>
            <w:r>
              <w:rPr>
                <w:lang w:val="fr-FR"/>
              </w:rPr>
              <w:t>400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AD2C972" w14:textId="77777777">
            <w:pPr>
              <w:pStyle w:val="Tab3MiddleColNonGras"/>
              <w:rPr>
                <w:lang w:val="fr-FR"/>
              </w:rPr>
            </w:pPr>
            <w:r>
              <w:rPr>
                <w:lang w:val="fr-FR"/>
              </w:rPr>
              <w:t>23 261,45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386ED83" w14:textId="77777777">
            <w:pPr>
              <w:pStyle w:val="Tab3LastColNonGras"/>
              <w:rPr>
                <w:lang w:val="fr-FR"/>
              </w:rPr>
            </w:pPr>
            <w:r>
              <w:rPr>
                <w:lang w:val="fr-FR"/>
              </w:rPr>
              <w:t>0,01</w:t>
            </w:r>
          </w:p>
        </w:tc>
      </w:tr>
      <w:tr w14:paraId="0F5F7ABD"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9DC16C1" w14:textId="77777777">
            <w:pPr>
              <w:pStyle w:val="Tab1FirstColGras"/>
              <w:rPr>
                <w:lang w:val="fr-FR"/>
              </w:rPr>
            </w:pPr>
            <w:r>
              <w:rPr>
                <w:lang w:val="fr-FR"/>
              </w:rPr>
              <w:t>Courrier, fret aérien et logistique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2B61969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59DC278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6DE64B99" w14:textId="77777777">
            <w:pPr>
              <w:pStyle w:val="Tab1MiddleColGras"/>
              <w:rPr>
                <w:lang w:val="fr-FR"/>
              </w:rPr>
            </w:pPr>
            <w:r>
              <w:rPr>
                <w:lang w:val="fr-FR"/>
              </w:rPr>
              <w:t>1 457 722,43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6EF24B1" w14:textId="77777777">
            <w:pPr>
              <w:pStyle w:val="Tab1LastColGras"/>
              <w:rPr>
                <w:lang w:val="fr-FR"/>
              </w:rPr>
            </w:pPr>
            <w:r>
              <w:rPr>
                <w:lang w:val="fr-FR"/>
              </w:rPr>
              <w:t>0,42</w:t>
            </w:r>
          </w:p>
        </w:tc>
      </w:tr>
      <w:tr w14:paraId="1058AD5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CF44F5E" w14:textId="77777777">
            <w:pPr>
              <w:pStyle w:val="Tab3FirstColNonGras"/>
              <w:rPr>
                <w:lang w:val="fr-FR"/>
              </w:rPr>
            </w:pPr>
            <w:r>
              <w:rPr>
                <w:lang w:val="fr-FR"/>
              </w:rPr>
              <w:t>AERCAP HOLDINGS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395B78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1AE3226" w14:textId="77777777">
            <w:pPr>
              <w:pStyle w:val="Tab3MiddleColNonGras"/>
              <w:rPr>
                <w:lang w:val="fr-FR"/>
              </w:rPr>
            </w:pPr>
            <w:r>
              <w:rPr>
                <w:lang w:val="fr-FR"/>
              </w:rPr>
              <w:t>2 329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2C6A48F" w14:textId="77777777">
            <w:pPr>
              <w:pStyle w:val="Tab3MiddleColNonGras"/>
              <w:rPr>
                <w:lang w:val="fr-FR"/>
              </w:rPr>
            </w:pPr>
            <w:r>
              <w:rPr>
                <w:lang w:val="fr-FR"/>
              </w:rPr>
              <w:t>272 493,00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9A3EA1A" w14:textId="77777777">
            <w:pPr>
              <w:pStyle w:val="Tab3LastColNonGras"/>
              <w:rPr>
                <w:lang w:val="fr-FR"/>
              </w:rPr>
            </w:pPr>
            <w:r>
              <w:rPr>
                <w:lang w:val="fr-FR"/>
              </w:rPr>
              <w:t>0,08</w:t>
            </w:r>
          </w:p>
        </w:tc>
      </w:tr>
      <w:tr w14:paraId="14E68F4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34FF4198" w14:textId="77777777">
            <w:pPr>
              <w:pStyle w:val="Tab3FirstColNonGras"/>
              <w:rPr>
                <w:lang w:val="en-US"/>
              </w:rPr>
            </w:pPr>
            <w:r w:rsidRPr="00D61EB0">
              <w:rPr>
                <w:lang w:val="en-US"/>
              </w:rPr>
              <w:t>C.H. ROBINSON WORLDWIDE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F842D4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CC9B417" w14:textId="77777777">
            <w:pPr>
              <w:pStyle w:val="Tab3MiddleColNonGras"/>
              <w:rPr>
                <w:lang w:val="fr-FR"/>
              </w:rPr>
            </w:pPr>
            <w:r>
              <w:rPr>
                <w:lang w:val="fr-FR"/>
              </w:rPr>
              <w:t>314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10EB224" w14:textId="77777777">
            <w:pPr>
              <w:pStyle w:val="Tab3MiddleColNonGras"/>
              <w:rPr>
                <w:lang w:val="fr-FR"/>
              </w:rPr>
            </w:pPr>
            <w:r>
              <w:rPr>
                <w:lang w:val="fr-FR"/>
              </w:rPr>
              <w:t>30 128,30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BD4FC79" w14:textId="77777777">
            <w:pPr>
              <w:pStyle w:val="Tab3LastColNonGras"/>
              <w:rPr>
                <w:lang w:val="fr-FR"/>
              </w:rPr>
            </w:pPr>
            <w:r>
              <w:rPr>
                <w:lang w:val="fr-FR"/>
              </w:rPr>
              <w:t>0,01</w:t>
            </w:r>
          </w:p>
        </w:tc>
      </w:tr>
      <w:tr w14:paraId="390F6AD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C13E1D9" w14:textId="77777777">
            <w:pPr>
              <w:pStyle w:val="Tab3FirstColNonGras"/>
              <w:rPr>
                <w:lang w:val="fr-FR"/>
              </w:rPr>
            </w:pPr>
            <w:r>
              <w:rPr>
                <w:lang w:val="fr-FR"/>
              </w:rPr>
              <w:t>DEUTSCHE POST AG NAMEN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1CC251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FB896F0" w14:textId="77777777">
            <w:pPr>
              <w:pStyle w:val="Tab3MiddleColNonGras"/>
              <w:rPr>
                <w:lang w:val="fr-FR"/>
              </w:rPr>
            </w:pPr>
            <w:r>
              <w:rPr>
                <w:lang w:val="fr-FR"/>
              </w:rPr>
              <w:t>2 986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7834105" w14:textId="77777777">
            <w:pPr>
              <w:pStyle w:val="Tab3MiddleColNonGras"/>
              <w:rPr>
                <w:lang w:val="fr-FR"/>
              </w:rPr>
            </w:pPr>
            <w:r>
              <w:rPr>
                <w:lang w:val="fr-FR"/>
              </w:rPr>
              <w:t>137 435,60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1620966" w14:textId="77777777">
            <w:pPr>
              <w:pStyle w:val="Tab3LastColNonGras"/>
              <w:rPr>
                <w:lang w:val="fr-FR"/>
              </w:rPr>
            </w:pPr>
            <w:r>
              <w:rPr>
                <w:lang w:val="fr-FR"/>
              </w:rPr>
              <w:t>0,04</w:t>
            </w:r>
          </w:p>
        </w:tc>
      </w:tr>
      <w:tr w14:paraId="78E083A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F81A8D2" w14:textId="77777777">
            <w:pPr>
              <w:pStyle w:val="Tab3FirstColNonGras"/>
              <w:rPr>
                <w:lang w:val="fr-FR"/>
              </w:rPr>
            </w:pPr>
            <w:r>
              <w:rPr>
                <w:lang w:val="fr-FR"/>
              </w:rPr>
              <w:t>DSV A/S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C365269" w14:textId="77777777">
            <w:pPr>
              <w:pStyle w:val="Tab1MiddleColNonGrasCentre"/>
              <w:rPr>
                <w:lang w:val="fr-FR"/>
              </w:rPr>
            </w:pPr>
            <w:r>
              <w:rPr>
                <w:lang w:val="fr-FR"/>
              </w:rPr>
              <w:t>DKK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B0462FB" w14:textId="77777777">
            <w:pPr>
              <w:pStyle w:val="Tab3MiddleColNonGras"/>
              <w:rPr>
                <w:lang w:val="fr-FR"/>
              </w:rPr>
            </w:pPr>
            <w:r>
              <w:rPr>
                <w:lang w:val="fr-FR"/>
              </w:rPr>
              <w:t>2 308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256130B" w14:textId="77777777">
            <w:pPr>
              <w:pStyle w:val="Tab3MiddleColNonGras"/>
              <w:rPr>
                <w:lang w:val="fr-FR"/>
              </w:rPr>
            </w:pPr>
            <w:r>
              <w:rPr>
                <w:lang w:val="fr-FR"/>
              </w:rPr>
              <w:t>552 684,98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B25815C" w14:textId="77777777">
            <w:pPr>
              <w:pStyle w:val="Tab3LastColNonGras"/>
              <w:rPr>
                <w:lang w:val="fr-FR"/>
              </w:rPr>
            </w:pPr>
            <w:r>
              <w:rPr>
                <w:lang w:val="fr-FR"/>
              </w:rPr>
              <w:t>0,16</w:t>
            </w:r>
          </w:p>
        </w:tc>
      </w:tr>
      <w:tr w14:paraId="120B9D1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826B631" w14:textId="77777777">
            <w:pPr>
              <w:pStyle w:val="Tab3FirstColNonGras"/>
              <w:rPr>
                <w:lang w:val="fr-FR"/>
              </w:rPr>
            </w:pPr>
            <w:r>
              <w:rPr>
                <w:lang w:val="fr-FR"/>
              </w:rPr>
              <w:t>EXPEDITORS INTL WASH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02855A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66A0DE8" w14:textId="77777777">
            <w:pPr>
              <w:pStyle w:val="Tab3MiddleColNonGras"/>
              <w:rPr>
                <w:lang w:val="fr-FR"/>
              </w:rPr>
            </w:pPr>
            <w:r>
              <w:rPr>
                <w:lang w:val="fr-FR"/>
              </w:rPr>
              <w:t>1 547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DA43FE5" w14:textId="77777777">
            <w:pPr>
              <w:pStyle w:val="Tab3MiddleColNonGras"/>
              <w:rPr>
                <w:lang w:val="fr-FR"/>
              </w:rPr>
            </w:pPr>
            <w:r>
              <w:rPr>
                <w:lang w:val="fr-FR"/>
              </w:rPr>
              <w:t>176 744,75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133FA07" w14:textId="77777777">
            <w:pPr>
              <w:pStyle w:val="Tab3LastColNonGras"/>
              <w:rPr>
                <w:lang w:val="fr-FR"/>
              </w:rPr>
            </w:pPr>
            <w:r>
              <w:rPr>
                <w:lang w:val="fr-FR"/>
              </w:rPr>
              <w:t>0,05</w:t>
            </w:r>
          </w:p>
        </w:tc>
      </w:tr>
      <w:tr w14:paraId="5630719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2970859" w14:textId="77777777">
            <w:pPr>
              <w:pStyle w:val="Tab3FirstColNonGras"/>
              <w:rPr>
                <w:lang w:val="fr-FR"/>
              </w:rPr>
            </w:pPr>
            <w:r>
              <w:rPr>
                <w:lang w:val="fr-FR"/>
              </w:rPr>
              <w:t>FEDEX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7281B9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8B85BB5" w14:textId="77777777">
            <w:pPr>
              <w:pStyle w:val="Tab3MiddleColNonGras"/>
              <w:rPr>
                <w:lang w:val="fr-FR"/>
              </w:rPr>
            </w:pPr>
            <w:r>
              <w:rPr>
                <w:lang w:val="fr-FR"/>
              </w:rPr>
              <w:t>526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3A30A65" w14:textId="77777777">
            <w:pPr>
              <w:pStyle w:val="Tab3MiddleColNonGras"/>
              <w:rPr>
                <w:lang w:val="fr-FR"/>
              </w:rPr>
            </w:pPr>
            <w:r>
              <w:rPr>
                <w:lang w:val="fr-FR"/>
              </w:rPr>
              <w:t>119 565,06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0D27DC9" w14:textId="77777777">
            <w:pPr>
              <w:pStyle w:val="Tab3LastColNonGras"/>
              <w:rPr>
                <w:lang w:val="fr-FR"/>
              </w:rPr>
            </w:pPr>
            <w:r>
              <w:rPr>
                <w:lang w:val="fr-FR"/>
              </w:rPr>
              <w:t>0,03</w:t>
            </w:r>
          </w:p>
        </w:tc>
      </w:tr>
      <w:tr w14:paraId="3B1083D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1B82AB83" w14:textId="77777777">
            <w:pPr>
              <w:pStyle w:val="Tab3FirstColNonGras"/>
              <w:rPr>
                <w:lang w:val="en-US"/>
              </w:rPr>
            </w:pPr>
            <w:r w:rsidRPr="00D61EB0">
              <w:rPr>
                <w:lang w:val="en-US"/>
              </w:rPr>
              <w:t>UNITED PARCEL SERVICE-CL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EFA8B8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CC7395E" w14:textId="77777777">
            <w:pPr>
              <w:pStyle w:val="Tab3MiddleColNonGras"/>
              <w:rPr>
                <w:lang w:val="fr-FR"/>
              </w:rPr>
            </w:pPr>
            <w:r>
              <w:rPr>
                <w:lang w:val="fr-FR"/>
              </w:rPr>
              <w:t>1 671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1F0B313" w14:textId="77777777">
            <w:pPr>
              <w:pStyle w:val="Tab3MiddleColNonGras"/>
              <w:rPr>
                <w:lang w:val="fr-FR"/>
              </w:rPr>
            </w:pPr>
            <w:r>
              <w:rPr>
                <w:lang w:val="fr-FR"/>
              </w:rPr>
              <w:t>168 670,74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A12B757" w14:textId="77777777">
            <w:pPr>
              <w:pStyle w:val="Tab3LastColNonGras"/>
              <w:rPr>
                <w:lang w:val="fr-FR"/>
              </w:rPr>
            </w:pPr>
            <w:r>
              <w:rPr>
                <w:lang w:val="fr-FR"/>
              </w:rPr>
              <w:t>0,05</w:t>
            </w:r>
          </w:p>
        </w:tc>
      </w:tr>
      <w:tr w14:paraId="0EE85E2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039E6CB5" w14:textId="77777777">
            <w:pPr>
              <w:pStyle w:val="Tab1FirstColGras"/>
              <w:rPr>
                <w:lang w:val="fr-FR"/>
              </w:rPr>
            </w:pPr>
            <w:r>
              <w:rPr>
                <w:lang w:val="fr-FR"/>
              </w:rPr>
              <w:t>Crédit à la consommation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6FBD0590"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18B4CC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180DB561" w14:textId="77777777">
            <w:pPr>
              <w:pStyle w:val="Tab1MiddleColGras"/>
              <w:rPr>
                <w:lang w:val="fr-FR"/>
              </w:rPr>
            </w:pPr>
            <w:r>
              <w:rPr>
                <w:lang w:val="fr-FR"/>
              </w:rPr>
              <w:t>1 793 294,43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0F41577" w14:textId="77777777">
            <w:pPr>
              <w:pStyle w:val="Tab1LastColGras"/>
              <w:rPr>
                <w:lang w:val="fr-FR"/>
              </w:rPr>
            </w:pPr>
            <w:r>
              <w:rPr>
                <w:lang w:val="fr-FR"/>
              </w:rPr>
              <w:t>0,52</w:t>
            </w:r>
          </w:p>
        </w:tc>
      </w:tr>
      <w:tr w14:paraId="3628970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370FBE7" w14:textId="77777777">
            <w:pPr>
              <w:pStyle w:val="Tab3FirstColNonGras"/>
              <w:rPr>
                <w:lang w:val="fr-FR"/>
              </w:rPr>
            </w:pPr>
            <w:r>
              <w:rPr>
                <w:lang w:val="fr-FR"/>
              </w:rPr>
              <w:t>AMERICAN EXPRESS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07C787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225C212" w14:textId="77777777">
            <w:pPr>
              <w:pStyle w:val="Tab3MiddleColNonGras"/>
              <w:rPr>
                <w:lang w:val="fr-FR"/>
              </w:rPr>
            </w:pPr>
            <w:r>
              <w:rPr>
                <w:lang w:val="fr-FR"/>
              </w:rPr>
              <w:t>2 896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D9314C3" w14:textId="77777777">
            <w:pPr>
              <w:pStyle w:val="Tab3MiddleColNonGras"/>
              <w:rPr>
                <w:lang w:val="fr-FR"/>
              </w:rPr>
            </w:pPr>
            <w:r>
              <w:rPr>
                <w:lang w:val="fr-FR"/>
              </w:rPr>
              <w:t>923 766,08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E907014" w14:textId="77777777">
            <w:pPr>
              <w:pStyle w:val="Tab3LastColNonGras"/>
              <w:rPr>
                <w:lang w:val="fr-FR"/>
              </w:rPr>
            </w:pPr>
            <w:r>
              <w:rPr>
                <w:lang w:val="fr-FR"/>
              </w:rPr>
              <w:t>0,27</w:t>
            </w:r>
          </w:p>
        </w:tc>
      </w:tr>
      <w:tr w14:paraId="59AF3B8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E374A80" w14:textId="77777777">
            <w:pPr>
              <w:pStyle w:val="Tab3FirstColNonGras"/>
              <w:rPr>
                <w:lang w:val="fr-FR"/>
              </w:rPr>
            </w:pPr>
            <w:r>
              <w:rPr>
                <w:lang w:val="fr-FR"/>
              </w:rPr>
              <w:t>CAPITAL ONE FINANCIAL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A31F19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90EB0BC" w14:textId="77777777">
            <w:pPr>
              <w:pStyle w:val="Tab3MiddleColNonGras"/>
              <w:rPr>
                <w:lang w:val="fr-FR"/>
              </w:rPr>
            </w:pPr>
            <w:r>
              <w:rPr>
                <w:lang w:val="fr-FR"/>
              </w:rPr>
              <w:t>3 216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39EE594" w14:textId="77777777">
            <w:pPr>
              <w:pStyle w:val="Tab3MiddleColNonGras"/>
              <w:rPr>
                <w:lang w:val="fr-FR"/>
              </w:rPr>
            </w:pPr>
            <w:r>
              <w:rPr>
                <w:lang w:val="fr-FR"/>
              </w:rPr>
              <w:t>684 236,16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1DA2AF7" w14:textId="77777777">
            <w:pPr>
              <w:pStyle w:val="Tab3LastColNonGras"/>
              <w:rPr>
                <w:lang w:val="fr-FR"/>
              </w:rPr>
            </w:pPr>
            <w:r>
              <w:rPr>
                <w:lang w:val="fr-FR"/>
              </w:rPr>
              <w:t>0,20</w:t>
            </w:r>
          </w:p>
        </w:tc>
      </w:tr>
      <w:tr w14:paraId="4BA9B71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28B2579" w14:textId="77777777">
            <w:pPr>
              <w:pStyle w:val="Tab3FirstColNonGras"/>
              <w:rPr>
                <w:lang w:val="fr-FR"/>
              </w:rPr>
            </w:pPr>
            <w:r>
              <w:rPr>
                <w:lang w:val="fr-FR"/>
              </w:rPr>
              <w:t>DRAFTKINGS INC-CL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F2969B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2C9C516" w14:textId="77777777">
            <w:pPr>
              <w:pStyle w:val="Tab3MiddleColNonGras"/>
              <w:rPr>
                <w:lang w:val="fr-FR"/>
              </w:rPr>
            </w:pPr>
            <w:r>
              <w:rPr>
                <w:lang w:val="fr-FR"/>
              </w:rPr>
              <w:t>2 371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19A9F87" w14:textId="77777777">
            <w:pPr>
              <w:pStyle w:val="Tab3MiddleColNonGras"/>
              <w:rPr>
                <w:lang w:val="fr-FR"/>
              </w:rPr>
            </w:pPr>
            <w:r>
              <w:rPr>
                <w:lang w:val="fr-FR"/>
              </w:rPr>
              <w:t>101 692,19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3E6E346" w14:textId="77777777">
            <w:pPr>
              <w:pStyle w:val="Tab3LastColNonGras"/>
              <w:rPr>
                <w:lang w:val="fr-FR"/>
              </w:rPr>
            </w:pPr>
            <w:r>
              <w:rPr>
                <w:lang w:val="fr-FR"/>
              </w:rPr>
              <w:t>0,03</w:t>
            </w:r>
          </w:p>
        </w:tc>
      </w:tr>
      <w:tr w14:paraId="1CCD4D4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8E2C6B3" w14:textId="77777777">
            <w:pPr>
              <w:pStyle w:val="Tab3FirstColNonGras"/>
              <w:rPr>
                <w:lang w:val="fr-FR"/>
              </w:rPr>
            </w:pPr>
            <w:r>
              <w:rPr>
                <w:lang w:val="fr-FR"/>
              </w:rPr>
              <w:t>TRANSUNION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EEDA1D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D665C4B" w14:textId="77777777">
            <w:pPr>
              <w:pStyle w:val="Tab3MiddleColNonGras"/>
              <w:rPr>
                <w:lang w:val="fr-FR"/>
              </w:rPr>
            </w:pPr>
            <w:r>
              <w:rPr>
                <w:lang w:val="fr-FR"/>
              </w:rPr>
              <w:t>950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AEF8303" w14:textId="77777777">
            <w:pPr>
              <w:pStyle w:val="Tab3MiddleColNonGras"/>
              <w:rPr>
                <w:lang w:val="fr-FR"/>
              </w:rPr>
            </w:pPr>
            <w:r>
              <w:rPr>
                <w:lang w:val="fr-FR"/>
              </w:rPr>
              <w:t>83 600,00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181D4CA" w14:textId="77777777">
            <w:pPr>
              <w:pStyle w:val="Tab3LastColNonGras"/>
              <w:rPr>
                <w:lang w:val="fr-FR"/>
              </w:rPr>
            </w:pPr>
            <w:r>
              <w:rPr>
                <w:lang w:val="fr-FR"/>
              </w:rPr>
              <w:t>0,02</w:t>
            </w:r>
          </w:p>
        </w:tc>
      </w:tr>
      <w:tr w14:paraId="07D6495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0B19AAD5" w14:textId="77777777">
            <w:pPr>
              <w:pStyle w:val="Tab1FirstColGras"/>
              <w:rPr>
                <w:lang w:val="fr-FR"/>
              </w:rPr>
            </w:pPr>
            <w:r>
              <w:rPr>
                <w:lang w:val="fr-FR"/>
              </w:rPr>
              <w:t>Distribution de produits alimentaires de première nécessité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72BB564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7EA357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0F11F551" w14:textId="77777777">
            <w:pPr>
              <w:pStyle w:val="Tab1MiddleColGras"/>
              <w:rPr>
                <w:lang w:val="fr-FR"/>
              </w:rPr>
            </w:pPr>
            <w:r>
              <w:rPr>
                <w:lang w:val="fr-FR"/>
              </w:rPr>
              <w:t>13 860 200,08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EFCEB29" w14:textId="77777777">
            <w:pPr>
              <w:pStyle w:val="Tab1LastColGras"/>
              <w:rPr>
                <w:lang w:val="fr-FR"/>
              </w:rPr>
            </w:pPr>
            <w:r>
              <w:rPr>
                <w:lang w:val="fr-FR"/>
              </w:rPr>
              <w:t>3,98</w:t>
            </w:r>
          </w:p>
        </w:tc>
      </w:tr>
      <w:tr w14:paraId="588AC5B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2C8EA25" w14:textId="77777777">
            <w:pPr>
              <w:pStyle w:val="Tab3FirstColNonGras"/>
              <w:rPr>
                <w:lang w:val="fr-FR"/>
              </w:rPr>
            </w:pPr>
            <w:r>
              <w:rPr>
                <w:lang w:val="fr-FR"/>
              </w:rPr>
              <w:t>AEON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0CB6F39"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776B920" w14:textId="77777777">
            <w:pPr>
              <w:pStyle w:val="Tab3MiddleColNonGras"/>
              <w:rPr>
                <w:lang w:val="fr-FR"/>
              </w:rPr>
            </w:pPr>
            <w:r>
              <w:rPr>
                <w:lang w:val="fr-FR"/>
              </w:rPr>
              <w:t>1 700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0A8A4D0" w14:textId="77777777">
            <w:pPr>
              <w:pStyle w:val="Tab3MiddleColNonGras"/>
              <w:rPr>
                <w:lang w:val="fr-FR"/>
              </w:rPr>
            </w:pPr>
            <w:r>
              <w:rPr>
                <w:lang w:val="fr-FR"/>
              </w:rPr>
              <w:t>52 019,80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0C7B581" w14:textId="77777777">
            <w:pPr>
              <w:pStyle w:val="Tab3LastColNonGras"/>
              <w:rPr>
                <w:lang w:val="fr-FR"/>
              </w:rPr>
            </w:pPr>
            <w:r>
              <w:rPr>
                <w:lang w:val="fr-FR"/>
              </w:rPr>
              <w:t>0,01</w:t>
            </w:r>
          </w:p>
        </w:tc>
      </w:tr>
      <w:tr w14:paraId="6F465A5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5ED0E67C" w14:textId="77777777">
            <w:pPr>
              <w:pStyle w:val="Tab3FirstColNonGras"/>
              <w:rPr>
                <w:lang w:val="en-US"/>
              </w:rPr>
            </w:pPr>
            <w:r w:rsidRPr="00D61EB0">
              <w:rPr>
                <w:lang w:val="en-US"/>
              </w:rPr>
              <w:t>AMERICAN WATER WORKS CO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F27026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6951891" w14:textId="77777777">
            <w:pPr>
              <w:pStyle w:val="Tab3MiddleColNonGras"/>
              <w:rPr>
                <w:lang w:val="fr-FR"/>
              </w:rPr>
            </w:pPr>
            <w:r>
              <w:rPr>
                <w:lang w:val="fr-FR"/>
              </w:rPr>
              <w:t>2 345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0DC4E04" w14:textId="77777777">
            <w:pPr>
              <w:pStyle w:val="Tab3MiddleColNonGras"/>
              <w:rPr>
                <w:lang w:val="fr-FR"/>
              </w:rPr>
            </w:pPr>
            <w:r>
              <w:rPr>
                <w:lang w:val="fr-FR"/>
              </w:rPr>
              <w:t>326 212,95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EA9B30A" w14:textId="77777777">
            <w:pPr>
              <w:pStyle w:val="Tab3LastColNonGras"/>
              <w:rPr>
                <w:lang w:val="fr-FR"/>
              </w:rPr>
            </w:pPr>
            <w:r>
              <w:rPr>
                <w:lang w:val="fr-FR"/>
              </w:rPr>
              <w:t>0,09</w:t>
            </w:r>
          </w:p>
        </w:tc>
      </w:tr>
      <w:tr w14:paraId="463A116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90429BB" w14:textId="77777777">
            <w:pPr>
              <w:pStyle w:val="Tab3FirstColNonGras"/>
              <w:rPr>
                <w:lang w:val="fr-FR"/>
              </w:rPr>
            </w:pPr>
            <w:r>
              <w:rPr>
                <w:lang w:val="fr-FR"/>
              </w:rPr>
              <w:t>ANSYS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FC1F20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E6EE390" w14:textId="77777777">
            <w:pPr>
              <w:pStyle w:val="Tab3MiddleColNonGras"/>
              <w:rPr>
                <w:lang w:val="fr-FR"/>
              </w:rPr>
            </w:pPr>
            <w:r>
              <w:rPr>
                <w:lang w:val="fr-FR"/>
              </w:rPr>
              <w:t>454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F1CF02B" w14:textId="77777777">
            <w:pPr>
              <w:pStyle w:val="Tab3MiddleColNonGras"/>
              <w:rPr>
                <w:lang w:val="fr-FR"/>
              </w:rPr>
            </w:pPr>
            <w:r>
              <w:rPr>
                <w:lang w:val="fr-FR"/>
              </w:rPr>
              <w:t>159 453,88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43667D4" w14:textId="77777777">
            <w:pPr>
              <w:pStyle w:val="Tab3LastColNonGras"/>
              <w:rPr>
                <w:lang w:val="fr-FR"/>
              </w:rPr>
            </w:pPr>
            <w:r>
              <w:rPr>
                <w:lang w:val="fr-FR"/>
              </w:rPr>
              <w:t>0,05</w:t>
            </w:r>
          </w:p>
        </w:tc>
      </w:tr>
      <w:tr w14:paraId="4FBD281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CBB3B2B" w14:textId="77777777">
            <w:pPr>
              <w:pStyle w:val="Tab3FirstColNonGras"/>
              <w:rPr>
                <w:lang w:val="fr-FR"/>
              </w:rPr>
            </w:pPr>
            <w:r>
              <w:rPr>
                <w:lang w:val="fr-FR"/>
              </w:rPr>
              <w:t>CARLYLE GROUP INC/THE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5D9BFC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D9F295B" w14:textId="77777777">
            <w:pPr>
              <w:pStyle w:val="Tab3MiddleColNonGras"/>
              <w:rPr>
                <w:lang w:val="fr-FR"/>
              </w:rPr>
            </w:pPr>
            <w:r>
              <w:rPr>
                <w:lang w:val="fr-FR"/>
              </w:rPr>
              <w:t>1 098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E026FD6" w14:textId="77777777">
            <w:pPr>
              <w:pStyle w:val="Tab3MiddleColNonGras"/>
              <w:rPr>
                <w:lang w:val="fr-FR"/>
              </w:rPr>
            </w:pPr>
            <w:r>
              <w:rPr>
                <w:lang w:val="fr-FR"/>
              </w:rPr>
              <w:t>56 437,20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E892E2C" w14:textId="77777777">
            <w:pPr>
              <w:pStyle w:val="Tab3LastColNonGras"/>
              <w:rPr>
                <w:lang w:val="fr-FR"/>
              </w:rPr>
            </w:pPr>
            <w:r>
              <w:rPr>
                <w:lang w:val="fr-FR"/>
              </w:rPr>
              <w:t>0,02</w:t>
            </w:r>
          </w:p>
        </w:tc>
      </w:tr>
      <w:tr w14:paraId="669C3C5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6B91ACF" w14:textId="77777777">
            <w:pPr>
              <w:pStyle w:val="Tab3FirstColNonGras"/>
              <w:rPr>
                <w:lang w:val="fr-FR"/>
              </w:rPr>
            </w:pPr>
            <w:r>
              <w:rPr>
                <w:lang w:val="fr-FR"/>
              </w:rPr>
              <w:t>CARREFOUR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646401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0161B88" w14:textId="77777777">
            <w:pPr>
              <w:pStyle w:val="Tab3MiddleColNonGras"/>
              <w:rPr>
                <w:lang w:val="fr-FR"/>
              </w:rPr>
            </w:pPr>
            <w:r>
              <w:rPr>
                <w:lang w:val="fr-FR"/>
              </w:rPr>
              <w:t>1 494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B2B1470" w14:textId="77777777">
            <w:pPr>
              <w:pStyle w:val="Tab3MiddleColNonGras"/>
              <w:rPr>
                <w:lang w:val="fr-FR"/>
              </w:rPr>
            </w:pPr>
            <w:r>
              <w:rPr>
                <w:lang w:val="fr-FR"/>
              </w:rPr>
              <w:t>20 992,17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EBBD30B" w14:textId="77777777">
            <w:pPr>
              <w:pStyle w:val="Tab3LastColNonGras"/>
              <w:rPr>
                <w:lang w:val="fr-FR"/>
              </w:rPr>
            </w:pPr>
            <w:r>
              <w:rPr>
                <w:lang w:val="fr-FR"/>
              </w:rPr>
              <w:t>0,01</w:t>
            </w:r>
          </w:p>
        </w:tc>
      </w:tr>
      <w:tr w14:paraId="3058898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2C3AC4D" w14:textId="77777777">
            <w:pPr>
              <w:pStyle w:val="Tab3FirstColNonGras"/>
              <w:rPr>
                <w:lang w:val="fr-FR"/>
              </w:rPr>
            </w:pPr>
            <w:r>
              <w:rPr>
                <w:lang w:val="fr-FR"/>
              </w:rPr>
              <w:t>CBOE GLOBAL MARKETS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7B5BF8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28117FA" w14:textId="77777777">
            <w:pPr>
              <w:pStyle w:val="Tab3MiddleColNonGras"/>
              <w:rPr>
                <w:lang w:val="fr-FR"/>
              </w:rPr>
            </w:pPr>
            <w:r>
              <w:rPr>
                <w:lang w:val="fr-FR"/>
              </w:rPr>
              <w:t>521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D819062" w14:textId="77777777">
            <w:pPr>
              <w:pStyle w:val="Tab3MiddleColNonGras"/>
              <w:rPr>
                <w:lang w:val="fr-FR"/>
              </w:rPr>
            </w:pPr>
            <w:r>
              <w:rPr>
                <w:lang w:val="fr-FR"/>
              </w:rPr>
              <w:t>121 502,41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E8CF323" w14:textId="77777777">
            <w:pPr>
              <w:pStyle w:val="Tab3LastColNonGras"/>
              <w:rPr>
                <w:lang w:val="fr-FR"/>
              </w:rPr>
            </w:pPr>
            <w:r>
              <w:rPr>
                <w:lang w:val="fr-FR"/>
              </w:rPr>
              <w:t>0,03</w:t>
            </w:r>
          </w:p>
        </w:tc>
      </w:tr>
      <w:tr w14:paraId="04A8568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FA053E9" w14:textId="77777777">
            <w:pPr>
              <w:pStyle w:val="Tab3FirstColNonGras"/>
              <w:rPr>
                <w:lang w:val="fr-FR"/>
              </w:rPr>
            </w:pPr>
            <w:r>
              <w:rPr>
                <w:lang w:val="fr-FR"/>
              </w:rPr>
              <w:t>CHURCH DWIGHT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4BFEC0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1CDE4D0" w14:textId="77777777">
            <w:pPr>
              <w:pStyle w:val="Tab3MiddleColNonGras"/>
              <w:rPr>
                <w:lang w:val="fr-FR"/>
              </w:rPr>
            </w:pPr>
            <w:r>
              <w:rPr>
                <w:lang w:val="fr-FR"/>
              </w:rPr>
              <w:t>2 680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2CFE278" w14:textId="77777777">
            <w:pPr>
              <w:pStyle w:val="Tab3MiddleColNonGras"/>
              <w:rPr>
                <w:lang w:val="fr-FR"/>
              </w:rPr>
            </w:pPr>
            <w:r>
              <w:rPr>
                <w:lang w:val="fr-FR"/>
              </w:rPr>
              <w:t>257 574,80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C2FE670" w14:textId="77777777">
            <w:pPr>
              <w:pStyle w:val="Tab3LastColNonGras"/>
              <w:rPr>
                <w:lang w:val="fr-FR"/>
              </w:rPr>
            </w:pPr>
            <w:r>
              <w:rPr>
                <w:lang w:val="fr-FR"/>
              </w:rPr>
              <w:t>0,07</w:t>
            </w:r>
          </w:p>
        </w:tc>
      </w:tr>
      <w:tr w14:paraId="64B5898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90BDB4C" w14:textId="77777777">
            <w:pPr>
              <w:pStyle w:val="Tab3FirstColNonGras"/>
              <w:rPr>
                <w:lang w:val="fr-FR"/>
              </w:rPr>
            </w:pPr>
            <w:r>
              <w:rPr>
                <w:lang w:val="fr-FR"/>
              </w:rPr>
              <w:t>CITIZENS FINANCIAL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6E8C82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B5450D3" w14:textId="77777777">
            <w:pPr>
              <w:pStyle w:val="Tab3MiddleColNonGras"/>
              <w:rPr>
                <w:lang w:val="fr-FR"/>
              </w:rPr>
            </w:pPr>
            <w:r>
              <w:rPr>
                <w:lang w:val="fr-FR"/>
              </w:rPr>
              <w:t>2 854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CAD6666" w14:textId="77777777">
            <w:pPr>
              <w:pStyle w:val="Tab3MiddleColNonGras"/>
              <w:rPr>
                <w:lang w:val="fr-FR"/>
              </w:rPr>
            </w:pPr>
            <w:r>
              <w:rPr>
                <w:lang w:val="fr-FR"/>
              </w:rPr>
              <w:t>127 716,50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33E3649" w14:textId="77777777">
            <w:pPr>
              <w:pStyle w:val="Tab3LastColNonGras"/>
              <w:rPr>
                <w:lang w:val="fr-FR"/>
              </w:rPr>
            </w:pPr>
            <w:r>
              <w:rPr>
                <w:lang w:val="fr-FR"/>
              </w:rPr>
              <w:t>0,04</w:t>
            </w:r>
          </w:p>
        </w:tc>
      </w:tr>
      <w:tr w14:paraId="6B097DA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36AC9CE" w14:textId="77777777">
            <w:pPr>
              <w:pStyle w:val="Tab3FirstColNonGras"/>
              <w:rPr>
                <w:lang w:val="fr-FR"/>
              </w:rPr>
            </w:pPr>
            <w:r>
              <w:rPr>
                <w:lang w:val="fr-FR"/>
              </w:rPr>
              <w:t>COCA-COLA HBC AG-DI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2CCA6AC"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022EF3A" w14:textId="77777777">
            <w:pPr>
              <w:pStyle w:val="Tab3MiddleColNonGras"/>
              <w:rPr>
                <w:lang w:val="fr-FR"/>
              </w:rPr>
            </w:pPr>
            <w:r>
              <w:rPr>
                <w:lang w:val="fr-FR"/>
              </w:rPr>
              <w:t>1 133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7403646" w14:textId="77777777">
            <w:pPr>
              <w:pStyle w:val="Tab3MiddleColNonGras"/>
              <w:rPr>
                <w:lang w:val="fr-FR"/>
              </w:rPr>
            </w:pPr>
            <w:r>
              <w:rPr>
                <w:lang w:val="fr-FR"/>
              </w:rPr>
              <w:t>59 061,57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56EE9BA" w14:textId="77777777">
            <w:pPr>
              <w:pStyle w:val="Tab3LastColNonGras"/>
              <w:rPr>
                <w:lang w:val="fr-FR"/>
              </w:rPr>
            </w:pPr>
            <w:r>
              <w:rPr>
                <w:lang w:val="fr-FR"/>
              </w:rPr>
              <w:t>0,02</w:t>
            </w:r>
          </w:p>
        </w:tc>
      </w:tr>
      <w:tr w14:paraId="786D684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6265DE3" w14:textId="77777777">
            <w:pPr>
              <w:pStyle w:val="Tab3FirstColNonGras"/>
              <w:rPr>
                <w:lang w:val="fr-FR"/>
              </w:rPr>
            </w:pPr>
            <w:r>
              <w:rPr>
                <w:lang w:val="fr-FR"/>
              </w:rPr>
              <w:t>COLES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8ECAECB"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AFAA013" w14:textId="77777777">
            <w:pPr>
              <w:pStyle w:val="Tab3MiddleColNonGras"/>
              <w:rPr>
                <w:lang w:val="fr-FR"/>
              </w:rPr>
            </w:pPr>
            <w:r>
              <w:rPr>
                <w:lang w:val="fr-FR"/>
              </w:rPr>
              <w:t>3 380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BDBDC2E" w14:textId="77777777">
            <w:pPr>
              <w:pStyle w:val="Tab3MiddleColNonGras"/>
              <w:rPr>
                <w:lang w:val="fr-FR"/>
              </w:rPr>
            </w:pPr>
            <w:r>
              <w:rPr>
                <w:lang w:val="fr-FR"/>
              </w:rPr>
              <w:t>46 163,11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C9AC467" w14:textId="77777777">
            <w:pPr>
              <w:pStyle w:val="Tab3LastColNonGras"/>
              <w:rPr>
                <w:lang w:val="fr-FR"/>
              </w:rPr>
            </w:pPr>
            <w:r>
              <w:rPr>
                <w:lang w:val="fr-FR"/>
              </w:rPr>
              <w:t>0,01</w:t>
            </w:r>
          </w:p>
        </w:tc>
      </w:tr>
      <w:tr w14:paraId="7E2647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84642DD" w14:textId="77777777">
            <w:pPr>
              <w:pStyle w:val="Tab3FirstColNonGras"/>
              <w:rPr>
                <w:lang w:val="fr-FR"/>
              </w:rPr>
            </w:pPr>
            <w:r>
              <w:rPr>
                <w:lang w:val="fr-FR"/>
              </w:rPr>
              <w:t>CONSTELLATION SOFTWARE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A7FCE75"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42044DA" w14:textId="77777777">
            <w:pPr>
              <w:pStyle w:val="Tab3MiddleColNonGras"/>
              <w:rPr>
                <w:lang w:val="fr-FR"/>
              </w:rPr>
            </w:pPr>
            <w:r>
              <w:rPr>
                <w:lang w:val="fr-FR"/>
              </w:rPr>
              <w:t>110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4FE640C" w14:textId="77777777">
            <w:pPr>
              <w:pStyle w:val="Tab3MiddleColNonGras"/>
              <w:rPr>
                <w:lang w:val="fr-FR"/>
              </w:rPr>
            </w:pPr>
            <w:r>
              <w:rPr>
                <w:lang w:val="fr-FR"/>
              </w:rPr>
              <w:t>402 521,90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E50D5C8" w14:textId="77777777">
            <w:pPr>
              <w:pStyle w:val="Tab3LastColNonGras"/>
              <w:rPr>
                <w:lang w:val="fr-FR"/>
              </w:rPr>
            </w:pPr>
            <w:r>
              <w:rPr>
                <w:lang w:val="fr-FR"/>
              </w:rPr>
              <w:t>0,12</w:t>
            </w:r>
          </w:p>
        </w:tc>
      </w:tr>
      <w:tr w14:paraId="7F28FF5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D809F0F" w14:textId="77777777">
            <w:pPr>
              <w:pStyle w:val="Tab3FirstColNonGras"/>
              <w:rPr>
                <w:lang w:val="fr-FR"/>
              </w:rPr>
            </w:pPr>
            <w:r>
              <w:rPr>
                <w:lang w:val="fr-FR"/>
              </w:rPr>
              <w:t>DOLLAR GENERAL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A62B42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7A519DF" w14:textId="77777777">
            <w:pPr>
              <w:pStyle w:val="Tab3MiddleColNonGras"/>
              <w:rPr>
                <w:lang w:val="fr-FR"/>
              </w:rPr>
            </w:pPr>
            <w:r>
              <w:rPr>
                <w:lang w:val="fr-FR"/>
              </w:rPr>
              <w:t>543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3DE6F94" w14:textId="77777777">
            <w:pPr>
              <w:pStyle w:val="Tab3MiddleColNonGras"/>
              <w:rPr>
                <w:lang w:val="fr-FR"/>
              </w:rPr>
            </w:pPr>
            <w:r>
              <w:rPr>
                <w:lang w:val="fr-FR"/>
              </w:rPr>
              <w:t>62 108,34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76B6C5D" w14:textId="77777777">
            <w:pPr>
              <w:pStyle w:val="Tab3LastColNonGras"/>
              <w:rPr>
                <w:lang w:val="fr-FR"/>
              </w:rPr>
            </w:pPr>
            <w:r>
              <w:rPr>
                <w:lang w:val="fr-FR"/>
              </w:rPr>
              <w:t>0,02</w:t>
            </w:r>
          </w:p>
        </w:tc>
      </w:tr>
      <w:tr w14:paraId="01FC168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2D827A9" w14:textId="77777777">
            <w:pPr>
              <w:pStyle w:val="Tab3FirstColNonGras"/>
              <w:rPr>
                <w:lang w:val="fr-FR"/>
              </w:rPr>
            </w:pPr>
            <w:r>
              <w:rPr>
                <w:lang w:val="fr-FR"/>
              </w:rPr>
              <w:t>ELEMENT FLEET MANAGEMENT COR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97658D6"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C3AC66F" w14:textId="77777777">
            <w:pPr>
              <w:pStyle w:val="Tab3MiddleColNonGras"/>
              <w:rPr>
                <w:lang w:val="fr-FR"/>
              </w:rPr>
            </w:pPr>
            <w:r>
              <w:rPr>
                <w:lang w:val="fr-FR"/>
              </w:rPr>
              <w:t>3 475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5DB6F1C" w14:textId="77777777">
            <w:pPr>
              <w:pStyle w:val="Tab3MiddleColNonGras"/>
              <w:rPr>
                <w:lang w:val="fr-FR"/>
              </w:rPr>
            </w:pPr>
            <w:r>
              <w:rPr>
                <w:lang w:val="fr-FR"/>
              </w:rPr>
              <w:t>86 866,92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E425677" w14:textId="77777777">
            <w:pPr>
              <w:pStyle w:val="Tab3LastColNonGras"/>
              <w:rPr>
                <w:lang w:val="fr-FR"/>
              </w:rPr>
            </w:pPr>
            <w:r>
              <w:rPr>
                <w:lang w:val="fr-FR"/>
              </w:rPr>
              <w:t>0,02</w:t>
            </w:r>
          </w:p>
        </w:tc>
      </w:tr>
      <w:tr w14:paraId="64BD12A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EF835B2" w14:textId="77777777">
            <w:pPr>
              <w:pStyle w:val="Tab3FirstColNonGras"/>
              <w:rPr>
                <w:lang w:val="fr-FR"/>
              </w:rPr>
            </w:pPr>
            <w:r>
              <w:rPr>
                <w:lang w:val="fr-FR"/>
              </w:rPr>
              <w:t>EMPIRE CL.A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330B78B"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EFE4416" w14:textId="77777777">
            <w:pPr>
              <w:pStyle w:val="Tab3MiddleColNonGras"/>
              <w:rPr>
                <w:lang w:val="fr-FR"/>
              </w:rPr>
            </w:pPr>
            <w:r>
              <w:rPr>
                <w:lang w:val="fr-FR"/>
              </w:rPr>
              <w:t>704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B86CBBF" w14:textId="77777777">
            <w:pPr>
              <w:pStyle w:val="Tab3MiddleColNonGras"/>
              <w:rPr>
                <w:lang w:val="fr-FR"/>
              </w:rPr>
            </w:pPr>
            <w:r>
              <w:rPr>
                <w:lang w:val="fr-FR"/>
              </w:rPr>
              <w:t>29 155,19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D432A5E" w14:textId="77777777">
            <w:pPr>
              <w:pStyle w:val="Tab3LastColNonGras"/>
              <w:rPr>
                <w:lang w:val="fr-FR"/>
              </w:rPr>
            </w:pPr>
            <w:r>
              <w:rPr>
                <w:lang w:val="fr-FR"/>
              </w:rPr>
              <w:t>0,01</w:t>
            </w:r>
          </w:p>
        </w:tc>
      </w:tr>
      <w:tr w14:paraId="5779B96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481FEA4" w14:textId="77777777">
            <w:pPr>
              <w:pStyle w:val="Tab3FirstColNonGras"/>
              <w:rPr>
                <w:lang w:val="fr-FR"/>
              </w:rPr>
            </w:pPr>
            <w:r>
              <w:rPr>
                <w:lang w:val="fr-FR"/>
              </w:rPr>
              <w:t>GJENSID FORSIKR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A12AF39" w14:textId="77777777">
            <w:pPr>
              <w:pStyle w:val="Tab1MiddleColNonGrasCentre"/>
              <w:rPr>
                <w:lang w:val="fr-FR"/>
              </w:rPr>
            </w:pPr>
            <w:r>
              <w:rPr>
                <w:lang w:val="fr-FR"/>
              </w:rPr>
              <w:t>NOK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9D8E8C9" w14:textId="77777777">
            <w:pPr>
              <w:pStyle w:val="Tab3MiddleColNonGras"/>
              <w:rPr>
                <w:lang w:val="fr-FR"/>
              </w:rPr>
            </w:pPr>
            <w:r>
              <w:rPr>
                <w:lang w:val="fr-FR"/>
              </w:rPr>
              <w:t>1 260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1674103" w14:textId="77777777">
            <w:pPr>
              <w:pStyle w:val="Tab3MiddleColNonGras"/>
              <w:rPr>
                <w:lang w:val="fr-FR"/>
              </w:rPr>
            </w:pPr>
            <w:r>
              <w:rPr>
                <w:lang w:val="fr-FR"/>
              </w:rPr>
              <w:t>31 799,65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135C957" w14:textId="77777777">
            <w:pPr>
              <w:pStyle w:val="Tab3LastColNonGras"/>
              <w:rPr>
                <w:lang w:val="fr-FR"/>
              </w:rPr>
            </w:pPr>
            <w:r>
              <w:rPr>
                <w:lang w:val="fr-FR"/>
              </w:rPr>
              <w:t>0,01</w:t>
            </w:r>
          </w:p>
        </w:tc>
      </w:tr>
      <w:tr w14:paraId="73364A9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3CA004D" w14:textId="77777777">
            <w:pPr>
              <w:pStyle w:val="Tab3FirstColNonGras"/>
              <w:rPr>
                <w:lang w:val="fr-FR"/>
              </w:rPr>
            </w:pPr>
            <w:r>
              <w:rPr>
                <w:lang w:val="fr-FR"/>
              </w:rPr>
              <w:t>HCA HEALTHCARE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77A750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FE91691" w14:textId="77777777">
            <w:pPr>
              <w:pStyle w:val="Tab3MiddleColNonGras"/>
              <w:rPr>
                <w:lang w:val="fr-FR"/>
              </w:rPr>
            </w:pPr>
            <w:r>
              <w:rPr>
                <w:lang w:val="fr-FR"/>
              </w:rPr>
              <w:t>915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C137DE9" w14:textId="77777777">
            <w:pPr>
              <w:pStyle w:val="Tab3MiddleColNonGras"/>
              <w:rPr>
                <w:lang w:val="fr-FR"/>
              </w:rPr>
            </w:pPr>
            <w:r>
              <w:rPr>
                <w:lang w:val="fr-FR"/>
              </w:rPr>
              <w:t>350 536,50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2D22731" w14:textId="77777777">
            <w:pPr>
              <w:pStyle w:val="Tab3LastColNonGras"/>
              <w:rPr>
                <w:lang w:val="fr-FR"/>
              </w:rPr>
            </w:pPr>
            <w:r>
              <w:rPr>
                <w:lang w:val="fr-FR"/>
              </w:rPr>
              <w:t>0,10</w:t>
            </w:r>
          </w:p>
        </w:tc>
      </w:tr>
      <w:tr w14:paraId="10B6264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4D8106C" w14:textId="77777777">
            <w:pPr>
              <w:pStyle w:val="Tab3FirstColNonGras"/>
              <w:rPr>
                <w:lang w:val="fr-FR"/>
              </w:rPr>
            </w:pPr>
            <w:r>
              <w:rPr>
                <w:lang w:val="fr-FR"/>
              </w:rPr>
              <w:t>JAPAN EXCHANGE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FFAAE10"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EF489CE" w14:textId="77777777">
            <w:pPr>
              <w:pStyle w:val="Tab3MiddleColNonGras"/>
              <w:rPr>
                <w:lang w:val="fr-FR"/>
              </w:rPr>
            </w:pPr>
            <w:r>
              <w:rPr>
                <w:lang w:val="fr-FR"/>
              </w:rPr>
              <w:t>2 100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657968E" w14:textId="77777777">
            <w:pPr>
              <w:pStyle w:val="Tab3MiddleColNonGras"/>
              <w:rPr>
                <w:lang w:val="fr-FR"/>
              </w:rPr>
            </w:pPr>
            <w:r>
              <w:rPr>
                <w:lang w:val="fr-FR"/>
              </w:rPr>
              <w:t>21 233,34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9377CA8" w14:textId="77777777">
            <w:pPr>
              <w:pStyle w:val="Tab3LastColNonGras"/>
              <w:rPr>
                <w:lang w:val="fr-FR"/>
              </w:rPr>
            </w:pPr>
            <w:r>
              <w:rPr>
                <w:lang w:val="fr-FR"/>
              </w:rPr>
              <w:t>0,01</w:t>
            </w:r>
          </w:p>
        </w:tc>
      </w:tr>
      <w:tr w14:paraId="44C9781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6E74530" w14:textId="77777777">
            <w:pPr>
              <w:pStyle w:val="Tab3FirstColNonGras"/>
              <w:rPr>
                <w:lang w:val="fr-FR"/>
              </w:rPr>
            </w:pPr>
            <w:r>
              <w:rPr>
                <w:lang w:val="fr-FR"/>
              </w:rPr>
              <w:t>JERONIMO MARTINS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15622A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07BF679" w14:textId="77777777">
            <w:pPr>
              <w:pStyle w:val="Tab3MiddleColNonGras"/>
              <w:rPr>
                <w:lang w:val="fr-FR"/>
              </w:rPr>
            </w:pPr>
            <w:r>
              <w:rPr>
                <w:lang w:val="fr-FR"/>
              </w:rPr>
              <w:t>798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EAB5453" w14:textId="77777777">
            <w:pPr>
              <w:pStyle w:val="Tab3MiddleColNonGras"/>
              <w:rPr>
                <w:lang w:val="fr-FR"/>
              </w:rPr>
            </w:pPr>
            <w:r>
              <w:rPr>
                <w:lang w:val="fr-FR"/>
              </w:rPr>
              <w:t>20 121,01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DCEE239" w14:textId="77777777">
            <w:pPr>
              <w:pStyle w:val="Tab3LastColNonGras"/>
              <w:rPr>
                <w:lang w:val="fr-FR"/>
              </w:rPr>
            </w:pPr>
            <w:r>
              <w:rPr>
                <w:lang w:val="fr-FR"/>
              </w:rPr>
              <w:t>0,01</w:t>
            </w:r>
          </w:p>
        </w:tc>
      </w:tr>
    </w:tbl>
    <w:p w:rsidR="001F4AEE" w14:paraId="00115DA8" w14:textId="77777777">
      <w:pPr>
        <w:sectPr>
          <w:headerReference w:type="default" r:id="rId28"/>
          <w:footerReference w:type="default" r:id="rId29"/>
          <w:pgSz w:w="11900" w:h="16840"/>
          <w:pgMar w:top="2154" w:right="1134" w:bottom="1134" w:left="1134" w:header="400" w:footer="400" w:gutter="0"/>
          <w:cols w:space="720"/>
        </w:sectPr>
      </w:pPr>
    </w:p>
    <w:p w:rsidR="001F4AEE" w14:paraId="3542B233" w14:textId="77777777">
      <w:pPr>
        <w:spacing w:line="30" w:lineRule="exact"/>
        <w:rPr>
          <w:sz w:val="3"/>
        </w:rPr>
      </w:pPr>
    </w:p>
    <w:p w:rsidR="001F4AEE" w14:paraId="5ABB22E6" w14:textId="77777777">
      <w:pPr>
        <w:pStyle w:val="TechnicalBookmark"/>
        <w:rPr>
          <w:lang w:val="fr-FR"/>
        </w:rPr>
      </w:pPr>
      <w:r>
        <w:rPr>
          <w:lang w:val="fr-FR"/>
        </w:rPr>
        <w:fldChar w:fldCharType="begin"/>
      </w:r>
      <w:r>
        <w:rPr>
          <w:lang w:val="fr-FR"/>
        </w:rPr>
        <w:instrText xml:space="preserve"> SET 6006116CC3DDCDCA617615F9729A2AAA "" </w:instrText>
      </w:r>
      <w:r>
        <w:rPr>
          <w:lang w:val="fr-FR"/>
        </w:rPr>
        <w:fldChar w:fldCharType="separate"/>
      </w:r>
      <w:bookmarkStart w:id="84" w:name="6006116CC3DDCDCA617615F9729A2AAA"/>
      <w:bookmarkEnd w:id="84"/>
      <w:r>
        <w:rPr>
          <w:lang w:val="fr-FR"/>
        </w:rPr>
        <w:fldChar w:fldCharType="end"/>
      </w:r>
    </w:p>
    <w:p w:rsidR="001F4AEE" w14:paraId="5836A6E6" w14:textId="77777777">
      <w:pPr>
        <w:pStyle w:val="H2"/>
        <w:rPr>
          <w:lang w:val="fr-FR"/>
        </w:rPr>
      </w:pPr>
      <w:r>
        <w:rPr>
          <w:lang w:val="fr-FR"/>
        </w:rPr>
        <w:t xml:space="preserve">Inventaire des éléments de bilan </w:t>
      </w:r>
    </w:p>
    <w:p w:rsidR="001F4AEE" w14:paraId="43AD9B1F" w14:textId="77777777">
      <w:pPr>
        <w:pStyle w:val="NoRefToc"/>
        <w:rPr>
          <w:lang w:val="fr-FR"/>
        </w:rPr>
      </w:pPr>
    </w:p>
    <w:p w:rsidR="001F4AEE" w14:paraId="7624DEBB" w14:textId="77777777">
      <w:pPr>
        <w:pStyle w:val="TechnicalBookmark"/>
        <w:rPr>
          <w:lang w:val="fr-FR"/>
        </w:rPr>
      </w:pPr>
      <w:r>
        <w:rPr>
          <w:lang w:val="fr-FR"/>
        </w:rPr>
        <w:fldChar w:fldCharType="begin"/>
      </w:r>
      <w:r>
        <w:rPr>
          <w:lang w:val="fr-FR"/>
        </w:rPr>
        <w:instrText xml:space="preserve"> SET FCB043C943C577BA7B87620A9E5BC5A5 "" </w:instrText>
      </w:r>
      <w:r>
        <w:rPr>
          <w:lang w:val="fr-FR"/>
        </w:rPr>
        <w:fldChar w:fldCharType="separate"/>
      </w:r>
      <w:bookmarkStart w:id="85" w:name="FCB043C943C577BA7B87620A9E5BC5A5"/>
      <w:bookmarkEnd w:id="85"/>
      <w:r>
        <w:rPr>
          <w:lang w:val="fr-FR"/>
        </w:rPr>
        <w:fldChar w:fldCharType="end"/>
      </w:r>
    </w:p>
    <w:p w:rsidR="001F4AEE" w14:paraId="7F81B067"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04C47912"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2D596504"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9851F32"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630AABB6" w14:textId="77777777">
            <w:pPr>
              <w:pStyle w:val="EnteteTabMiddleColBordure"/>
              <w:spacing w:line="184" w:lineRule="exact"/>
              <w:rPr>
                <w:lang w:val="fr-FR"/>
              </w:rPr>
            </w:pPr>
            <w:r>
              <w:rPr>
                <w:lang w:val="fr-FR"/>
              </w:rPr>
              <w:t>Quantité ou</w:t>
            </w:r>
          </w:p>
          <w:p w:rsidR="001F4AEE" w14:paraId="2B6A4A32"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27AD3B47"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3BC7E7D6" w14:textId="77777777">
            <w:pPr>
              <w:pStyle w:val="EnteteTabLastColBordure"/>
              <w:spacing w:line="184" w:lineRule="exact"/>
              <w:rPr>
                <w:lang w:val="fr-FR"/>
              </w:rPr>
            </w:pPr>
            <w:r>
              <w:rPr>
                <w:lang w:val="fr-FR"/>
              </w:rPr>
              <w:t>% Actif</w:t>
            </w:r>
          </w:p>
          <w:p w:rsidR="001F4AEE" w14:paraId="7F15DCCC" w14:textId="77777777">
            <w:pPr>
              <w:pStyle w:val="EnteteTabLastColBordure"/>
              <w:spacing w:line="184" w:lineRule="exact"/>
              <w:rPr>
                <w:lang w:val="fr-FR"/>
              </w:rPr>
            </w:pPr>
            <w:r>
              <w:rPr>
                <w:lang w:val="fr-FR"/>
              </w:rPr>
              <w:t>Net</w:t>
            </w:r>
          </w:p>
        </w:tc>
      </w:tr>
      <w:tr w14:paraId="7EBD812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0655DDE" w14:textId="77777777">
            <w:pPr>
              <w:pStyle w:val="Tab3FirstColNonGras"/>
              <w:rPr>
                <w:lang w:val="fr-FR"/>
              </w:rPr>
            </w:pPr>
            <w:r>
              <w:rPr>
                <w:lang w:val="fr-FR"/>
              </w:rPr>
              <w:t>KESKO OYJ-B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BCEB53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40AAEDC" w14:textId="77777777">
            <w:pPr>
              <w:pStyle w:val="Tab3MiddleColNonGras"/>
              <w:rPr>
                <w:lang w:val="fr-FR"/>
              </w:rPr>
            </w:pPr>
            <w:r>
              <w:rPr>
                <w:lang w:val="fr-FR"/>
              </w:rPr>
              <w:t>777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8E318C5" w14:textId="77777777">
            <w:pPr>
              <w:pStyle w:val="Tab3MiddleColNonGras"/>
              <w:rPr>
                <w:lang w:val="fr-FR"/>
              </w:rPr>
            </w:pPr>
            <w:r>
              <w:rPr>
                <w:lang w:val="fr-FR"/>
              </w:rPr>
              <w:t>19 098,99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B3A1827" w14:textId="77777777">
            <w:pPr>
              <w:pStyle w:val="Tab3LastColNonGras"/>
              <w:rPr>
                <w:lang w:val="fr-FR"/>
              </w:rPr>
            </w:pPr>
            <w:r>
              <w:rPr>
                <w:lang w:val="fr-FR"/>
              </w:rPr>
              <w:t>0,01</w:t>
            </w:r>
          </w:p>
        </w:tc>
      </w:tr>
      <w:tr w14:paraId="10B79D5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710D870" w14:textId="77777777">
            <w:pPr>
              <w:pStyle w:val="Tab3FirstColNonGras"/>
              <w:rPr>
                <w:lang w:val="fr-FR"/>
              </w:rPr>
            </w:pPr>
            <w:r>
              <w:rPr>
                <w:lang w:val="fr-FR"/>
              </w:rPr>
              <w:t>KEURIG DR PEPPER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C4C12B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D778C2A" w14:textId="77777777">
            <w:pPr>
              <w:pStyle w:val="Tab3MiddleColNonGras"/>
              <w:rPr>
                <w:lang w:val="fr-FR"/>
              </w:rPr>
            </w:pPr>
            <w:r>
              <w:rPr>
                <w:lang w:val="fr-FR"/>
              </w:rPr>
              <w:t>11 018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E490764" w14:textId="77777777">
            <w:pPr>
              <w:pStyle w:val="Tab3MiddleColNonGras"/>
              <w:rPr>
                <w:lang w:val="fr-FR"/>
              </w:rPr>
            </w:pPr>
            <w:r>
              <w:rPr>
                <w:lang w:val="fr-FR"/>
              </w:rPr>
              <w:t>364 255,08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2AD62E4" w14:textId="77777777">
            <w:pPr>
              <w:pStyle w:val="Tab3LastColNonGras"/>
              <w:rPr>
                <w:lang w:val="fr-FR"/>
              </w:rPr>
            </w:pPr>
            <w:r>
              <w:rPr>
                <w:lang w:val="fr-FR"/>
              </w:rPr>
              <w:t>0,10</w:t>
            </w:r>
          </w:p>
        </w:tc>
      </w:tr>
      <w:tr w14:paraId="7BA0AE4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F1B1A1E" w14:textId="77777777">
            <w:pPr>
              <w:pStyle w:val="Tab3FirstColNonGras"/>
              <w:rPr>
                <w:lang w:val="fr-FR"/>
              </w:rPr>
            </w:pPr>
            <w:r>
              <w:rPr>
                <w:lang w:val="fr-FR"/>
              </w:rPr>
              <w:t>KIRIN HOLDINGS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DC5EE1A"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D4C495E" w14:textId="77777777">
            <w:pPr>
              <w:pStyle w:val="Tab3MiddleColNonGras"/>
              <w:rPr>
                <w:lang w:val="fr-FR"/>
              </w:rPr>
            </w:pPr>
            <w:r>
              <w:rPr>
                <w:lang w:val="fr-FR"/>
              </w:rPr>
              <w:t>1 900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2A7609B" w14:textId="77777777">
            <w:pPr>
              <w:pStyle w:val="Tab3MiddleColNonGras"/>
              <w:rPr>
                <w:lang w:val="fr-FR"/>
              </w:rPr>
            </w:pPr>
            <w:r>
              <w:rPr>
                <w:lang w:val="fr-FR"/>
              </w:rPr>
              <w:t>26 564,09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A3202C2" w14:textId="77777777">
            <w:pPr>
              <w:pStyle w:val="Tab3LastColNonGras"/>
              <w:rPr>
                <w:lang w:val="fr-FR"/>
              </w:rPr>
            </w:pPr>
            <w:r>
              <w:rPr>
                <w:lang w:val="fr-FR"/>
              </w:rPr>
              <w:t>0,01</w:t>
            </w:r>
          </w:p>
        </w:tc>
      </w:tr>
      <w:tr w14:paraId="3051B21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E49F563" w14:textId="77777777">
            <w:pPr>
              <w:pStyle w:val="Tab3FirstColNonGras"/>
              <w:rPr>
                <w:lang w:val="fr-FR"/>
              </w:rPr>
            </w:pPr>
            <w:r>
              <w:rPr>
                <w:lang w:val="fr-FR"/>
              </w:rPr>
              <w:t>KKR &amp; CO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657C7E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09BF8AE" w14:textId="77777777">
            <w:pPr>
              <w:pStyle w:val="Tab3MiddleColNonGras"/>
              <w:rPr>
                <w:lang w:val="fr-FR"/>
              </w:rPr>
            </w:pPr>
            <w:r>
              <w:rPr>
                <w:lang w:val="fr-FR"/>
              </w:rPr>
              <w:t>2 994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A9FDAF0" w14:textId="77777777">
            <w:pPr>
              <w:pStyle w:val="Tab3MiddleColNonGras"/>
              <w:rPr>
                <w:lang w:val="fr-FR"/>
              </w:rPr>
            </w:pPr>
            <w:r>
              <w:rPr>
                <w:lang w:val="fr-FR"/>
              </w:rPr>
              <w:t>398 291,82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19F1E13" w14:textId="77777777">
            <w:pPr>
              <w:pStyle w:val="Tab3LastColNonGras"/>
              <w:rPr>
                <w:lang w:val="fr-FR"/>
              </w:rPr>
            </w:pPr>
            <w:r>
              <w:rPr>
                <w:lang w:val="fr-FR"/>
              </w:rPr>
              <w:t>0,11</w:t>
            </w:r>
          </w:p>
        </w:tc>
      </w:tr>
      <w:tr w14:paraId="7401070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92916FC" w14:textId="77777777">
            <w:pPr>
              <w:pStyle w:val="Tab3FirstColNonGras"/>
              <w:rPr>
                <w:lang w:val="fr-FR"/>
              </w:rPr>
            </w:pPr>
            <w:r>
              <w:rPr>
                <w:lang w:val="fr-FR"/>
              </w:rPr>
              <w:t>KONINKLIJKE AHOLD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8638F1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E758BD9" w14:textId="77777777">
            <w:pPr>
              <w:pStyle w:val="Tab3MiddleColNonGras"/>
              <w:rPr>
                <w:lang w:val="fr-FR"/>
              </w:rPr>
            </w:pPr>
            <w:r>
              <w:rPr>
                <w:lang w:val="fr-FR"/>
              </w:rPr>
              <w:t>2 138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E82CE88" w14:textId="77777777">
            <w:pPr>
              <w:pStyle w:val="Tab3MiddleColNonGras"/>
              <w:rPr>
                <w:lang w:val="fr-FR"/>
              </w:rPr>
            </w:pPr>
            <w:r>
              <w:rPr>
                <w:lang w:val="fr-FR"/>
              </w:rPr>
              <w:t>89 094,04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B3A3B48" w14:textId="77777777">
            <w:pPr>
              <w:pStyle w:val="Tab3LastColNonGras"/>
              <w:rPr>
                <w:lang w:val="fr-FR"/>
              </w:rPr>
            </w:pPr>
            <w:r>
              <w:rPr>
                <w:lang w:val="fr-FR"/>
              </w:rPr>
              <w:t>0,03</w:t>
            </w:r>
          </w:p>
        </w:tc>
      </w:tr>
      <w:tr w14:paraId="6EB15CD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676A700" w14:textId="77777777">
            <w:pPr>
              <w:pStyle w:val="Tab3FirstColNonGras"/>
              <w:rPr>
                <w:lang w:val="fr-FR"/>
              </w:rPr>
            </w:pPr>
            <w:r>
              <w:rPr>
                <w:lang w:val="fr-FR"/>
              </w:rPr>
              <w:t>LOBLAW COMPANIES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0F18BBB"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D8A71E0" w14:textId="77777777">
            <w:pPr>
              <w:pStyle w:val="Tab3MiddleColNonGras"/>
              <w:rPr>
                <w:lang w:val="fr-FR"/>
              </w:rPr>
            </w:pPr>
            <w:r>
              <w:rPr>
                <w:lang w:val="fr-FR"/>
              </w:rPr>
              <w:t>1 520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33FA2C6" w14:textId="77777777">
            <w:pPr>
              <w:pStyle w:val="Tab3MiddleColNonGras"/>
              <w:rPr>
                <w:lang w:val="fr-FR"/>
              </w:rPr>
            </w:pPr>
            <w:r>
              <w:rPr>
                <w:lang w:val="fr-FR"/>
              </w:rPr>
              <w:t>250 914,79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B545E44" w14:textId="77777777">
            <w:pPr>
              <w:pStyle w:val="Tab3LastColNonGras"/>
              <w:rPr>
                <w:lang w:val="fr-FR"/>
              </w:rPr>
            </w:pPr>
            <w:r>
              <w:rPr>
                <w:lang w:val="fr-FR"/>
              </w:rPr>
              <w:t>0,07</w:t>
            </w:r>
          </w:p>
        </w:tc>
      </w:tr>
      <w:tr w14:paraId="2B208E2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542E9E3" w14:textId="77777777">
            <w:pPr>
              <w:pStyle w:val="Tab3FirstColNonGras"/>
              <w:rPr>
                <w:lang w:val="fr-FR"/>
              </w:rPr>
            </w:pPr>
            <w:r>
              <w:rPr>
                <w:lang w:val="fr-FR"/>
              </w:rPr>
              <w:t>MACQUARIE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3137E36"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DDDA1CD" w14:textId="77777777">
            <w:pPr>
              <w:pStyle w:val="Tab3MiddleColNonGras"/>
              <w:rPr>
                <w:lang w:val="fr-FR"/>
              </w:rPr>
            </w:pPr>
            <w:r>
              <w:rPr>
                <w:lang w:val="fr-FR"/>
              </w:rPr>
              <w:t>1 911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A951A8C" w14:textId="77777777">
            <w:pPr>
              <w:pStyle w:val="Tab3MiddleColNonGras"/>
              <w:rPr>
                <w:lang w:val="fr-FR"/>
              </w:rPr>
            </w:pPr>
            <w:r>
              <w:rPr>
                <w:lang w:val="fr-FR"/>
              </w:rPr>
              <w:t>286 460,31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5286E68" w14:textId="77777777">
            <w:pPr>
              <w:pStyle w:val="Tab3LastColNonGras"/>
              <w:rPr>
                <w:lang w:val="fr-FR"/>
              </w:rPr>
            </w:pPr>
            <w:r>
              <w:rPr>
                <w:lang w:val="fr-FR"/>
              </w:rPr>
              <w:t>0,08</w:t>
            </w:r>
          </w:p>
        </w:tc>
      </w:tr>
      <w:tr w14:paraId="4F03385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AFA7079" w14:textId="77777777">
            <w:pPr>
              <w:pStyle w:val="Tab3FirstColNonGras"/>
              <w:rPr>
                <w:lang w:val="fr-FR"/>
              </w:rPr>
            </w:pPr>
            <w:r>
              <w:rPr>
                <w:lang w:val="fr-FR"/>
              </w:rPr>
              <w:t>MARKS &amp; SPENCER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4B98091"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B85ED67" w14:textId="77777777">
            <w:pPr>
              <w:pStyle w:val="Tab3MiddleColNonGras"/>
              <w:rPr>
                <w:lang w:val="fr-FR"/>
              </w:rPr>
            </w:pPr>
            <w:r>
              <w:rPr>
                <w:lang w:val="fr-FR"/>
              </w:rPr>
              <w:t>5 540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BF16122" w14:textId="77777777">
            <w:pPr>
              <w:pStyle w:val="Tab3MiddleColNonGras"/>
              <w:rPr>
                <w:lang w:val="fr-FR"/>
              </w:rPr>
            </w:pPr>
            <w:r>
              <w:rPr>
                <w:lang w:val="fr-FR"/>
              </w:rPr>
              <w:t>26 905,31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6283198" w14:textId="77777777">
            <w:pPr>
              <w:pStyle w:val="Tab3LastColNonGras"/>
              <w:rPr>
                <w:lang w:val="fr-FR"/>
              </w:rPr>
            </w:pPr>
            <w:r>
              <w:rPr>
                <w:lang w:val="fr-FR"/>
              </w:rPr>
              <w:t>0,01</w:t>
            </w:r>
          </w:p>
        </w:tc>
      </w:tr>
      <w:tr w14:paraId="038832D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99503D9" w14:textId="77777777">
            <w:pPr>
              <w:pStyle w:val="Tab3FirstColNonGras"/>
              <w:rPr>
                <w:lang w:val="fr-FR"/>
              </w:rPr>
            </w:pPr>
            <w:r>
              <w:rPr>
                <w:lang w:val="fr-FR"/>
              </w:rPr>
              <w:t>MATSUKIYOCOCOKARA &amp;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4C1760B"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CDA7883" w14:textId="77777777">
            <w:pPr>
              <w:pStyle w:val="Tab3MiddleColNonGras"/>
              <w:rPr>
                <w:lang w:val="fr-FR"/>
              </w:rPr>
            </w:pPr>
            <w:r>
              <w:rPr>
                <w:lang w:val="fr-FR"/>
              </w:rPr>
              <w:t>3 200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44DFE73" w14:textId="77777777">
            <w:pPr>
              <w:pStyle w:val="Tab3MiddleColNonGras"/>
              <w:rPr>
                <w:lang w:val="fr-FR"/>
              </w:rPr>
            </w:pPr>
            <w:r>
              <w:rPr>
                <w:lang w:val="fr-FR"/>
              </w:rPr>
              <w:t>65 741,29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F2758D8" w14:textId="77777777">
            <w:pPr>
              <w:pStyle w:val="Tab3LastColNonGras"/>
              <w:rPr>
                <w:lang w:val="fr-FR"/>
              </w:rPr>
            </w:pPr>
            <w:r>
              <w:rPr>
                <w:lang w:val="fr-FR"/>
              </w:rPr>
              <w:t>0,02</w:t>
            </w:r>
          </w:p>
        </w:tc>
      </w:tr>
      <w:tr w14:paraId="112C753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B13D3FA" w14:textId="77777777">
            <w:pPr>
              <w:pStyle w:val="Tab3FirstColNonGras"/>
              <w:rPr>
                <w:lang w:val="fr-FR"/>
              </w:rPr>
            </w:pPr>
            <w:r>
              <w:rPr>
                <w:lang w:val="fr-FR"/>
              </w:rPr>
              <w:t>MERCADOLIBRE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2B7DE2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2D38C0A" w14:textId="77777777">
            <w:pPr>
              <w:pStyle w:val="Tab3MiddleColNonGras"/>
              <w:rPr>
                <w:lang w:val="fr-FR"/>
              </w:rPr>
            </w:pPr>
            <w:r>
              <w:rPr>
                <w:lang w:val="fr-FR"/>
              </w:rPr>
              <w:t>501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8B022BD" w14:textId="77777777">
            <w:pPr>
              <w:pStyle w:val="Tab3MiddleColNonGras"/>
              <w:rPr>
                <w:lang w:val="fr-FR"/>
              </w:rPr>
            </w:pPr>
            <w:r>
              <w:rPr>
                <w:lang w:val="fr-FR"/>
              </w:rPr>
              <w:t>1 309 428,63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83194F6" w14:textId="77777777">
            <w:pPr>
              <w:pStyle w:val="Tab3LastColNonGras"/>
              <w:rPr>
                <w:lang w:val="fr-FR"/>
              </w:rPr>
            </w:pPr>
            <w:r>
              <w:rPr>
                <w:lang w:val="fr-FR"/>
              </w:rPr>
              <w:t>0,38</w:t>
            </w:r>
          </w:p>
        </w:tc>
      </w:tr>
      <w:tr w14:paraId="489F645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1997C45" w14:textId="77777777">
            <w:pPr>
              <w:pStyle w:val="Tab3FirstColNonGras"/>
              <w:rPr>
                <w:lang w:val="fr-FR"/>
              </w:rPr>
            </w:pPr>
            <w:r>
              <w:rPr>
                <w:lang w:val="fr-FR"/>
              </w:rPr>
              <w:t>METRO INC/CN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841533C"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D22FB7D" w14:textId="77777777">
            <w:pPr>
              <w:pStyle w:val="Tab3MiddleColNonGras"/>
              <w:rPr>
                <w:lang w:val="fr-FR"/>
              </w:rPr>
            </w:pPr>
            <w:r>
              <w:rPr>
                <w:lang w:val="fr-FR"/>
              </w:rPr>
              <w:t>2 003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216CA51" w14:textId="77777777">
            <w:pPr>
              <w:pStyle w:val="Tab3MiddleColNonGras"/>
              <w:rPr>
                <w:lang w:val="fr-FR"/>
              </w:rPr>
            </w:pPr>
            <w:r>
              <w:rPr>
                <w:lang w:val="fr-FR"/>
              </w:rPr>
              <w:t>157 022,11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F5C7272" w14:textId="77777777">
            <w:pPr>
              <w:pStyle w:val="Tab3LastColNonGras"/>
              <w:rPr>
                <w:lang w:val="fr-FR"/>
              </w:rPr>
            </w:pPr>
            <w:r>
              <w:rPr>
                <w:lang w:val="fr-FR"/>
              </w:rPr>
              <w:t>0,05</w:t>
            </w:r>
          </w:p>
        </w:tc>
      </w:tr>
      <w:tr w14:paraId="5711E95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5D95139" w14:textId="77777777">
            <w:pPr>
              <w:pStyle w:val="Tab3FirstColNonGras"/>
              <w:rPr>
                <w:lang w:val="fr-FR"/>
              </w:rPr>
            </w:pPr>
            <w:r>
              <w:rPr>
                <w:lang w:val="fr-FR"/>
              </w:rPr>
              <w:t>MITSUBISHI HC CAPITAL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D0DB59A"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1FC89C5" w14:textId="77777777">
            <w:pPr>
              <w:pStyle w:val="Tab3MiddleColNonGras"/>
              <w:rPr>
                <w:lang w:val="fr-FR"/>
              </w:rPr>
            </w:pPr>
            <w:r>
              <w:rPr>
                <w:lang w:val="fr-FR"/>
              </w:rPr>
              <w:t>4 200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03E2694" w14:textId="77777777">
            <w:pPr>
              <w:pStyle w:val="Tab3MiddleColNonGras"/>
              <w:rPr>
                <w:lang w:val="fr-FR"/>
              </w:rPr>
            </w:pPr>
            <w:r>
              <w:rPr>
                <w:lang w:val="fr-FR"/>
              </w:rPr>
              <w:t>30 835,96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B5AD7B4" w14:textId="77777777">
            <w:pPr>
              <w:pStyle w:val="Tab3LastColNonGras"/>
              <w:rPr>
                <w:lang w:val="fr-FR"/>
              </w:rPr>
            </w:pPr>
            <w:r>
              <w:rPr>
                <w:lang w:val="fr-FR"/>
              </w:rPr>
              <w:t>0,01</w:t>
            </w:r>
          </w:p>
        </w:tc>
      </w:tr>
      <w:tr w14:paraId="468571F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5324782" w14:textId="77777777">
            <w:pPr>
              <w:pStyle w:val="Tab3FirstColNonGras"/>
              <w:rPr>
                <w:lang w:val="fr-FR"/>
              </w:rPr>
            </w:pPr>
            <w:r>
              <w:rPr>
                <w:lang w:val="fr-FR"/>
              </w:rPr>
              <w:t>MOLINA HEALTHCARE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4EE454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3E59D92" w14:textId="77777777">
            <w:pPr>
              <w:pStyle w:val="Tab3MiddleColNonGras"/>
              <w:rPr>
                <w:lang w:val="fr-FR"/>
              </w:rPr>
            </w:pPr>
            <w:r>
              <w:rPr>
                <w:lang w:val="fr-FR"/>
              </w:rPr>
              <w:t>298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ADADAE2" w14:textId="77777777">
            <w:pPr>
              <w:pStyle w:val="Tab3MiddleColNonGras"/>
              <w:rPr>
                <w:lang w:val="fr-FR"/>
              </w:rPr>
            </w:pPr>
            <w:r>
              <w:rPr>
                <w:lang w:val="fr-FR"/>
              </w:rPr>
              <w:t>88 774,20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90BD8B5" w14:textId="77777777">
            <w:pPr>
              <w:pStyle w:val="Tab3LastColNonGras"/>
              <w:rPr>
                <w:lang w:val="fr-FR"/>
              </w:rPr>
            </w:pPr>
            <w:r>
              <w:rPr>
                <w:lang w:val="fr-FR"/>
              </w:rPr>
              <w:t>0,03</w:t>
            </w:r>
          </w:p>
        </w:tc>
      </w:tr>
      <w:tr w14:paraId="068660D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872053F" w14:textId="77777777">
            <w:pPr>
              <w:pStyle w:val="Tab3FirstColNonGras"/>
              <w:rPr>
                <w:lang w:val="fr-FR"/>
              </w:rPr>
            </w:pPr>
            <w:r>
              <w:rPr>
                <w:lang w:val="fr-FR"/>
              </w:rPr>
              <w:t>NN GROUP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94006A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84CC495" w14:textId="77777777">
            <w:pPr>
              <w:pStyle w:val="Tab3MiddleColNonGras"/>
              <w:rPr>
                <w:lang w:val="fr-FR"/>
              </w:rPr>
            </w:pPr>
            <w:r>
              <w:rPr>
                <w:lang w:val="fr-FR"/>
              </w:rPr>
              <w:t>1 124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41E68A3" w14:textId="77777777">
            <w:pPr>
              <w:pStyle w:val="Tab3MiddleColNonGras"/>
              <w:rPr>
                <w:lang w:val="fr-FR"/>
              </w:rPr>
            </w:pPr>
            <w:r>
              <w:rPr>
                <w:lang w:val="fr-FR"/>
              </w:rPr>
              <w:t>74 440,97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DA10D41" w14:textId="77777777">
            <w:pPr>
              <w:pStyle w:val="Tab3LastColNonGras"/>
              <w:rPr>
                <w:lang w:val="fr-FR"/>
              </w:rPr>
            </w:pPr>
            <w:r>
              <w:rPr>
                <w:lang w:val="fr-FR"/>
              </w:rPr>
              <w:t>0,02</w:t>
            </w:r>
          </w:p>
        </w:tc>
      </w:tr>
      <w:tr w14:paraId="7759452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C3EC77D" w14:textId="77777777">
            <w:pPr>
              <w:pStyle w:val="Tab3FirstColNonGras"/>
              <w:rPr>
                <w:lang w:val="fr-FR"/>
              </w:rPr>
            </w:pPr>
            <w:r>
              <w:rPr>
                <w:lang w:val="fr-FR"/>
              </w:rPr>
              <w:t>SYNCHRONY FINANCIAL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F77F20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78C0A45" w14:textId="77777777">
            <w:pPr>
              <w:pStyle w:val="Tab3MiddleColNonGras"/>
              <w:rPr>
                <w:lang w:val="fr-FR"/>
              </w:rPr>
            </w:pPr>
            <w:r>
              <w:rPr>
                <w:lang w:val="fr-FR"/>
              </w:rPr>
              <w:t>1 983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272E736" w14:textId="77777777">
            <w:pPr>
              <w:pStyle w:val="Tab3MiddleColNonGras"/>
              <w:rPr>
                <w:lang w:val="fr-FR"/>
              </w:rPr>
            </w:pPr>
            <w:r>
              <w:rPr>
                <w:lang w:val="fr-FR"/>
              </w:rPr>
              <w:t>132 345,42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D1CDD0F" w14:textId="77777777">
            <w:pPr>
              <w:pStyle w:val="Tab3LastColNonGras"/>
              <w:rPr>
                <w:lang w:val="fr-FR"/>
              </w:rPr>
            </w:pPr>
            <w:r>
              <w:rPr>
                <w:lang w:val="fr-FR"/>
              </w:rPr>
              <w:t>0,04</w:t>
            </w:r>
          </w:p>
        </w:tc>
      </w:tr>
      <w:tr w14:paraId="7BF77CA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6BE54DD" w14:textId="77777777">
            <w:pPr>
              <w:pStyle w:val="Tab3FirstColNonGras"/>
              <w:rPr>
                <w:lang w:val="fr-FR"/>
              </w:rPr>
            </w:pPr>
            <w:r>
              <w:rPr>
                <w:lang w:val="fr-FR"/>
              </w:rPr>
              <w:t>SYSCO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ECA739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7C0F809" w14:textId="77777777">
            <w:pPr>
              <w:pStyle w:val="Tab3MiddleColNonGras"/>
              <w:rPr>
                <w:lang w:val="fr-FR"/>
              </w:rPr>
            </w:pPr>
            <w:r>
              <w:rPr>
                <w:lang w:val="fr-FR"/>
              </w:rPr>
              <w:t>1 374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0F87A77" w14:textId="77777777">
            <w:pPr>
              <w:pStyle w:val="Tab3MiddleColNonGras"/>
              <w:rPr>
                <w:lang w:val="fr-FR"/>
              </w:rPr>
            </w:pPr>
            <w:r>
              <w:rPr>
                <w:lang w:val="fr-FR"/>
              </w:rPr>
              <w:t>104 066,76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77EF130" w14:textId="77777777">
            <w:pPr>
              <w:pStyle w:val="Tab3LastColNonGras"/>
              <w:rPr>
                <w:lang w:val="fr-FR"/>
              </w:rPr>
            </w:pPr>
            <w:r>
              <w:rPr>
                <w:lang w:val="fr-FR"/>
              </w:rPr>
              <w:t>0,03</w:t>
            </w:r>
          </w:p>
        </w:tc>
      </w:tr>
      <w:tr w14:paraId="44C7EDD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074FD2F" w14:textId="77777777">
            <w:pPr>
              <w:pStyle w:val="Tab3FirstColNonGras"/>
              <w:rPr>
                <w:lang w:val="fr-FR"/>
              </w:rPr>
            </w:pPr>
            <w:r>
              <w:rPr>
                <w:lang w:val="fr-FR"/>
              </w:rPr>
              <w:t>TARGET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321E60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682F209" w14:textId="77777777">
            <w:pPr>
              <w:pStyle w:val="Tab3MiddleColNonGras"/>
              <w:rPr>
                <w:lang w:val="fr-FR"/>
              </w:rPr>
            </w:pPr>
            <w:r>
              <w:rPr>
                <w:lang w:val="fr-FR"/>
              </w:rPr>
              <w:t>1 068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88C2C66" w14:textId="77777777">
            <w:pPr>
              <w:pStyle w:val="Tab3MiddleColNonGras"/>
              <w:rPr>
                <w:lang w:val="fr-FR"/>
              </w:rPr>
            </w:pPr>
            <w:r>
              <w:rPr>
                <w:lang w:val="fr-FR"/>
              </w:rPr>
              <w:t>105 358,20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4900977" w14:textId="77777777">
            <w:pPr>
              <w:pStyle w:val="Tab3LastColNonGras"/>
              <w:rPr>
                <w:lang w:val="fr-FR"/>
              </w:rPr>
            </w:pPr>
            <w:r>
              <w:rPr>
                <w:lang w:val="fr-FR"/>
              </w:rPr>
              <w:t>0,03</w:t>
            </w:r>
          </w:p>
        </w:tc>
      </w:tr>
      <w:tr w14:paraId="1748313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44FC92F2" w14:textId="77777777">
            <w:pPr>
              <w:pStyle w:val="Tab3FirstColNonGras"/>
              <w:rPr>
                <w:lang w:val="en-US"/>
              </w:rPr>
            </w:pPr>
            <w:r w:rsidRPr="00D61EB0">
              <w:rPr>
                <w:lang w:val="en-US"/>
              </w:rPr>
              <w:t>VISA INC-CLASS A SHARES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89E241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5DB0F1F" w14:textId="77777777">
            <w:pPr>
              <w:pStyle w:val="Tab3MiddleColNonGras"/>
              <w:rPr>
                <w:lang w:val="fr-FR"/>
              </w:rPr>
            </w:pPr>
            <w:r>
              <w:rPr>
                <w:lang w:val="fr-FR"/>
              </w:rPr>
              <w:t>8 894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FDFFBC4" w14:textId="77777777">
            <w:pPr>
              <w:pStyle w:val="Tab3MiddleColNonGras"/>
              <w:rPr>
                <w:lang w:val="fr-FR"/>
              </w:rPr>
            </w:pPr>
            <w:r>
              <w:rPr>
                <w:lang w:val="fr-FR"/>
              </w:rPr>
              <w:t>3 157 814,70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ECA706F" w14:textId="77777777">
            <w:pPr>
              <w:pStyle w:val="Tab3LastColNonGras"/>
              <w:rPr>
                <w:lang w:val="fr-FR"/>
              </w:rPr>
            </w:pPr>
            <w:r>
              <w:rPr>
                <w:lang w:val="fr-FR"/>
              </w:rPr>
              <w:t>0,91</w:t>
            </w:r>
          </w:p>
        </w:tc>
      </w:tr>
      <w:tr w14:paraId="3601C2C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793B044" w14:textId="77777777">
            <w:pPr>
              <w:pStyle w:val="Tab3FirstColNonGras"/>
              <w:rPr>
                <w:lang w:val="fr-FR"/>
              </w:rPr>
            </w:pPr>
            <w:r>
              <w:rPr>
                <w:lang w:val="fr-FR"/>
              </w:rPr>
              <w:t>WALMART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7DDF28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8ADE601" w14:textId="77777777">
            <w:pPr>
              <w:pStyle w:val="Tab3MiddleColNonGras"/>
              <w:rPr>
                <w:lang w:val="fr-FR"/>
              </w:rPr>
            </w:pPr>
            <w:r>
              <w:rPr>
                <w:lang w:val="fr-FR"/>
              </w:rPr>
              <w:t>42 676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25DA0B5" w14:textId="77777777">
            <w:pPr>
              <w:pStyle w:val="Tab3MiddleColNonGras"/>
              <w:rPr>
                <w:lang w:val="fr-FR"/>
              </w:rPr>
            </w:pPr>
            <w:r>
              <w:rPr>
                <w:lang w:val="fr-FR"/>
              </w:rPr>
              <w:t>4 172 859,28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CEB329F" w14:textId="77777777">
            <w:pPr>
              <w:pStyle w:val="Tab3LastColNonGras"/>
              <w:rPr>
                <w:lang w:val="fr-FR"/>
              </w:rPr>
            </w:pPr>
            <w:r>
              <w:rPr>
                <w:lang w:val="fr-FR"/>
              </w:rPr>
              <w:t>1,17</w:t>
            </w:r>
          </w:p>
        </w:tc>
      </w:tr>
      <w:tr w14:paraId="06F3DBA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C99E491" w14:textId="77777777">
            <w:pPr>
              <w:pStyle w:val="Tab3FirstColNonGras"/>
              <w:rPr>
                <w:lang w:val="fr-FR"/>
              </w:rPr>
            </w:pPr>
            <w:r>
              <w:rPr>
                <w:lang w:val="fr-FR"/>
              </w:rPr>
              <w:t>WESFARMERS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6E2892F"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BB5A951" w14:textId="77777777">
            <w:pPr>
              <w:pStyle w:val="Tab3MiddleColNonGras"/>
              <w:rPr>
                <w:lang w:val="fr-FR"/>
              </w:rPr>
            </w:pPr>
            <w:r>
              <w:rPr>
                <w:lang w:val="fr-FR"/>
              </w:rPr>
              <w:t>10 664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32D48B6" w14:textId="77777777">
            <w:pPr>
              <w:pStyle w:val="Tab3MiddleColNonGras"/>
              <w:rPr>
                <w:lang w:val="fr-FR"/>
              </w:rPr>
            </w:pPr>
            <w:r>
              <w:rPr>
                <w:lang w:val="fr-FR"/>
              </w:rPr>
              <w:t>592 298,31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B4B687A" w14:textId="77777777">
            <w:pPr>
              <w:pStyle w:val="Tab3LastColNonGras"/>
              <w:rPr>
                <w:lang w:val="fr-FR"/>
              </w:rPr>
            </w:pPr>
            <w:r>
              <w:rPr>
                <w:lang w:val="fr-FR"/>
              </w:rPr>
              <w:t>0,17</w:t>
            </w:r>
          </w:p>
        </w:tc>
      </w:tr>
      <w:tr w14:paraId="157C782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43D51A8" w14:textId="77777777">
            <w:pPr>
              <w:pStyle w:val="Tab3FirstColNonGras"/>
              <w:rPr>
                <w:lang w:val="fr-FR"/>
              </w:rPr>
            </w:pPr>
            <w:r>
              <w:rPr>
                <w:lang w:val="fr-FR"/>
              </w:rPr>
              <w:t>WESTON (GEORGE)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F726D47"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3D70F10" w14:textId="77777777">
            <w:pPr>
              <w:pStyle w:val="Tab3MiddleColNonGras"/>
              <w:rPr>
                <w:lang w:val="fr-FR"/>
              </w:rPr>
            </w:pPr>
            <w:r>
              <w:rPr>
                <w:lang w:val="fr-FR"/>
              </w:rPr>
              <w:t>585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C69C396" w14:textId="77777777">
            <w:pPr>
              <w:pStyle w:val="Tab3MiddleColNonGras"/>
              <w:rPr>
                <w:lang w:val="fr-FR"/>
              </w:rPr>
            </w:pPr>
            <w:r>
              <w:rPr>
                <w:lang w:val="fr-FR"/>
              </w:rPr>
              <w:t>117 087,72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0812530" w14:textId="77777777">
            <w:pPr>
              <w:pStyle w:val="Tab3LastColNonGras"/>
              <w:rPr>
                <w:lang w:val="fr-FR"/>
              </w:rPr>
            </w:pPr>
            <w:r>
              <w:rPr>
                <w:lang w:val="fr-FR"/>
              </w:rPr>
              <w:t>0,03</w:t>
            </w:r>
          </w:p>
        </w:tc>
      </w:tr>
      <w:tr w14:paraId="1D6292B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31A6893" w14:textId="77777777">
            <w:pPr>
              <w:pStyle w:val="Tab3FirstColNonGras"/>
              <w:rPr>
                <w:lang w:val="fr-FR"/>
              </w:rPr>
            </w:pPr>
            <w:r>
              <w:rPr>
                <w:lang w:val="fr-FR"/>
              </w:rPr>
              <w:t>WOOLWORTHS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72ACBA3"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FD2E5D7" w14:textId="77777777">
            <w:pPr>
              <w:pStyle w:val="Tab3MiddleColNonGras"/>
              <w:rPr>
                <w:lang w:val="fr-FR"/>
              </w:rPr>
            </w:pPr>
            <w:r>
              <w:rPr>
                <w:lang w:val="fr-FR"/>
              </w:rPr>
              <w:t>2 897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8C8105F" w14:textId="77777777">
            <w:pPr>
              <w:pStyle w:val="Tab3MiddleColNonGras"/>
              <w:rPr>
                <w:lang w:val="fr-FR"/>
              </w:rPr>
            </w:pPr>
            <w:r>
              <w:rPr>
                <w:lang w:val="fr-FR"/>
              </w:rPr>
              <w:t>59 064,86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E28C6E2" w14:textId="77777777">
            <w:pPr>
              <w:pStyle w:val="Tab3LastColNonGras"/>
              <w:rPr>
                <w:lang w:val="fr-FR"/>
              </w:rPr>
            </w:pPr>
            <w:r>
              <w:rPr>
                <w:lang w:val="fr-FR"/>
              </w:rPr>
              <w:t>0,02</w:t>
            </w:r>
          </w:p>
        </w:tc>
      </w:tr>
      <w:tr w14:paraId="63A9252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69A22175" w14:textId="77777777">
            <w:pPr>
              <w:pStyle w:val="Tab1FirstColGras"/>
              <w:rPr>
                <w:lang w:val="fr-FR"/>
              </w:rPr>
            </w:pPr>
            <w:r>
              <w:rPr>
                <w:lang w:val="fr-FR"/>
              </w:rPr>
              <w:t>Distribution spécialisée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0BEA763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3CC53D32"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75C9899E" w14:textId="77777777">
            <w:pPr>
              <w:pStyle w:val="Tab1MiddleColGras"/>
              <w:rPr>
                <w:lang w:val="fr-FR"/>
              </w:rPr>
            </w:pPr>
            <w:r>
              <w:rPr>
                <w:lang w:val="fr-FR"/>
              </w:rPr>
              <w:t>7 139 085,07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FB16629" w14:textId="77777777">
            <w:pPr>
              <w:pStyle w:val="Tab1LastColGras"/>
              <w:rPr>
                <w:lang w:val="fr-FR"/>
              </w:rPr>
            </w:pPr>
            <w:r>
              <w:rPr>
                <w:lang w:val="fr-FR"/>
              </w:rPr>
              <w:t>2,05</w:t>
            </w:r>
          </w:p>
        </w:tc>
      </w:tr>
      <w:tr w14:paraId="5D59730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B036FCE" w14:textId="77777777">
            <w:pPr>
              <w:pStyle w:val="Tab3FirstColNonGras"/>
              <w:rPr>
                <w:lang w:val="fr-FR"/>
              </w:rPr>
            </w:pPr>
            <w:r>
              <w:rPr>
                <w:lang w:val="fr-FR"/>
              </w:rPr>
              <w:t>BEST BUY CO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DE530D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C8F7D73" w14:textId="77777777">
            <w:pPr>
              <w:pStyle w:val="Tab3MiddleColNonGras"/>
              <w:rPr>
                <w:lang w:val="fr-FR"/>
              </w:rPr>
            </w:pPr>
            <w:r>
              <w:rPr>
                <w:lang w:val="fr-FR"/>
              </w:rPr>
              <w:t>429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7CC7A6D" w14:textId="77777777">
            <w:pPr>
              <w:pStyle w:val="Tab3MiddleColNonGras"/>
              <w:rPr>
                <w:lang w:val="fr-FR"/>
              </w:rPr>
            </w:pPr>
            <w:r>
              <w:rPr>
                <w:lang w:val="fr-FR"/>
              </w:rPr>
              <w:t>28 798,77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A814C50" w14:textId="77777777">
            <w:pPr>
              <w:pStyle w:val="Tab3LastColNonGras"/>
              <w:rPr>
                <w:lang w:val="fr-FR"/>
              </w:rPr>
            </w:pPr>
            <w:r>
              <w:rPr>
                <w:lang w:val="fr-FR"/>
              </w:rPr>
              <w:t>0,01</w:t>
            </w:r>
          </w:p>
        </w:tc>
      </w:tr>
      <w:tr w14:paraId="3317711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B9F9955" w14:textId="77777777">
            <w:pPr>
              <w:pStyle w:val="Tab3FirstColNonGras"/>
              <w:rPr>
                <w:lang w:val="fr-FR"/>
              </w:rPr>
            </w:pPr>
            <w:r>
              <w:rPr>
                <w:lang w:val="fr-FR"/>
              </w:rPr>
              <w:t>DICK'S SPORTING GOODS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4CA230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9AE9285" w14:textId="77777777">
            <w:pPr>
              <w:pStyle w:val="Tab3MiddleColNonGras"/>
              <w:rPr>
                <w:lang w:val="fr-FR"/>
              </w:rPr>
            </w:pPr>
            <w:r>
              <w:rPr>
                <w:lang w:val="fr-FR"/>
              </w:rPr>
              <w:t>601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937BD06" w14:textId="77777777">
            <w:pPr>
              <w:pStyle w:val="Tab3MiddleColNonGras"/>
              <w:rPr>
                <w:lang w:val="fr-FR"/>
              </w:rPr>
            </w:pPr>
            <w:r>
              <w:rPr>
                <w:lang w:val="fr-FR"/>
              </w:rPr>
              <w:t>118 883,81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A5B7EAC" w14:textId="77777777">
            <w:pPr>
              <w:pStyle w:val="Tab3LastColNonGras"/>
              <w:rPr>
                <w:lang w:val="fr-FR"/>
              </w:rPr>
            </w:pPr>
            <w:r>
              <w:rPr>
                <w:lang w:val="fr-FR"/>
              </w:rPr>
              <w:t>0,03</w:t>
            </w:r>
          </w:p>
        </w:tc>
      </w:tr>
      <w:tr w14:paraId="350A8C9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55B3D34" w14:textId="77777777">
            <w:pPr>
              <w:pStyle w:val="Tab3FirstColNonGras"/>
              <w:rPr>
                <w:lang w:val="fr-FR"/>
              </w:rPr>
            </w:pPr>
            <w:r>
              <w:rPr>
                <w:lang w:val="fr-FR"/>
              </w:rPr>
              <w:t>FAST RETAILING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847BB4C"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2E9306C" w14:textId="77777777">
            <w:pPr>
              <w:pStyle w:val="Tab3MiddleColNonGras"/>
              <w:rPr>
                <w:lang w:val="fr-FR"/>
              </w:rPr>
            </w:pPr>
            <w:r>
              <w:rPr>
                <w:lang w:val="fr-FR"/>
              </w:rPr>
              <w:t>2 200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6F36299" w14:textId="77777777">
            <w:pPr>
              <w:pStyle w:val="Tab3MiddleColNonGras"/>
              <w:rPr>
                <w:lang w:val="fr-FR"/>
              </w:rPr>
            </w:pPr>
            <w:r>
              <w:rPr>
                <w:lang w:val="fr-FR"/>
              </w:rPr>
              <w:t>754 224,85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21A4660" w14:textId="77777777">
            <w:pPr>
              <w:pStyle w:val="Tab3LastColNonGras"/>
              <w:rPr>
                <w:lang w:val="fr-FR"/>
              </w:rPr>
            </w:pPr>
            <w:r>
              <w:rPr>
                <w:lang w:val="fr-FR"/>
              </w:rPr>
              <w:t>0,22</w:t>
            </w:r>
          </w:p>
        </w:tc>
      </w:tr>
      <w:tr w14:paraId="465BF63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0C07423" w14:textId="77777777">
            <w:pPr>
              <w:pStyle w:val="Tab3FirstColNonGras"/>
              <w:rPr>
                <w:lang w:val="fr-FR"/>
              </w:rPr>
            </w:pPr>
            <w:r>
              <w:rPr>
                <w:lang w:val="fr-FR"/>
              </w:rPr>
              <w:t>HENNES AND MAURITZ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2346983"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FC097BD" w14:textId="77777777">
            <w:pPr>
              <w:pStyle w:val="Tab3MiddleColNonGras"/>
              <w:rPr>
                <w:lang w:val="fr-FR"/>
              </w:rPr>
            </w:pPr>
            <w:r>
              <w:rPr>
                <w:lang w:val="fr-FR"/>
              </w:rPr>
              <w:t>1 496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A89FCA3" w14:textId="77777777">
            <w:pPr>
              <w:pStyle w:val="Tab3MiddleColNonGras"/>
              <w:rPr>
                <w:lang w:val="fr-FR"/>
              </w:rPr>
            </w:pPr>
            <w:r>
              <w:rPr>
                <w:lang w:val="fr-FR"/>
              </w:rPr>
              <w:t>20 861,51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AADBDED" w14:textId="77777777">
            <w:pPr>
              <w:pStyle w:val="Tab3LastColNonGras"/>
              <w:rPr>
                <w:lang w:val="fr-FR"/>
              </w:rPr>
            </w:pPr>
            <w:r>
              <w:rPr>
                <w:lang w:val="fr-FR"/>
              </w:rPr>
              <w:t>0,01</w:t>
            </w:r>
          </w:p>
        </w:tc>
      </w:tr>
      <w:tr w14:paraId="740F533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101F3B3" w14:textId="77777777">
            <w:pPr>
              <w:pStyle w:val="Tab3FirstColNonGras"/>
              <w:rPr>
                <w:lang w:val="fr-FR"/>
              </w:rPr>
            </w:pPr>
            <w:r>
              <w:rPr>
                <w:lang w:val="fr-FR"/>
              </w:rPr>
              <w:t>HIKARI TSUSHIN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2EEF1B1"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3BB0112" w14:textId="77777777">
            <w:pPr>
              <w:pStyle w:val="Tab3MiddleColNonGras"/>
              <w:rPr>
                <w:lang w:val="fr-FR"/>
              </w:rPr>
            </w:pPr>
            <w:r>
              <w:rPr>
                <w:lang w:val="fr-FR"/>
              </w:rPr>
              <w:t>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824ED5A" w14:textId="77777777">
            <w:pPr>
              <w:pStyle w:val="Tab3MiddleColNonGras"/>
              <w:rPr>
                <w:lang w:val="fr-FR"/>
              </w:rPr>
            </w:pPr>
            <w:r>
              <w:rPr>
                <w:lang w:val="fr-FR"/>
              </w:rPr>
              <w:t>29 464,50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BB2590F" w14:textId="77777777">
            <w:pPr>
              <w:pStyle w:val="Tab3LastColNonGras"/>
              <w:rPr>
                <w:lang w:val="fr-FR"/>
              </w:rPr>
            </w:pPr>
            <w:r>
              <w:rPr>
                <w:lang w:val="fr-FR"/>
              </w:rPr>
              <w:t>0,01</w:t>
            </w:r>
          </w:p>
        </w:tc>
      </w:tr>
      <w:tr w14:paraId="45C0CD1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AF92D3F" w14:textId="77777777">
            <w:pPr>
              <w:pStyle w:val="Tab3FirstColNonGras"/>
              <w:rPr>
                <w:lang w:val="fr-FR"/>
              </w:rPr>
            </w:pPr>
            <w:r>
              <w:rPr>
                <w:lang w:val="fr-FR"/>
              </w:rPr>
              <w:t>HOME DEPOT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449748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107F9B7" w14:textId="77777777">
            <w:pPr>
              <w:pStyle w:val="Tab3MiddleColNonGras"/>
              <w:rPr>
                <w:lang w:val="fr-FR"/>
              </w:rPr>
            </w:pPr>
            <w:r>
              <w:rPr>
                <w:lang w:val="fr-FR"/>
              </w:rPr>
              <w:t>4 919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A03D4CC" w14:textId="77777777">
            <w:pPr>
              <w:pStyle w:val="Tab3MiddleColNonGras"/>
              <w:rPr>
                <w:lang w:val="fr-FR"/>
              </w:rPr>
            </w:pPr>
            <w:r>
              <w:rPr>
                <w:lang w:val="fr-FR"/>
              </w:rPr>
              <w:t>1 803 502,16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0075E7D" w14:textId="77777777">
            <w:pPr>
              <w:pStyle w:val="Tab3LastColNonGras"/>
              <w:rPr>
                <w:lang w:val="fr-FR"/>
              </w:rPr>
            </w:pPr>
            <w:r>
              <w:rPr>
                <w:lang w:val="fr-FR"/>
              </w:rPr>
              <w:t>0,51</w:t>
            </w:r>
          </w:p>
        </w:tc>
      </w:tr>
      <w:tr w14:paraId="4953F64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0887925" w14:textId="77777777">
            <w:pPr>
              <w:pStyle w:val="Tab3FirstColNonGras"/>
              <w:rPr>
                <w:lang w:val="fr-FR"/>
              </w:rPr>
            </w:pPr>
            <w:r>
              <w:rPr>
                <w:lang w:val="fr-FR"/>
              </w:rPr>
              <w:t>INDUSTRIA DE DISENO TEXTIL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E9C441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BED741C" w14:textId="77777777">
            <w:pPr>
              <w:pStyle w:val="Tab3MiddleColNonGras"/>
              <w:rPr>
                <w:lang w:val="fr-FR"/>
              </w:rPr>
            </w:pPr>
            <w:r>
              <w:rPr>
                <w:lang w:val="fr-FR"/>
              </w:rPr>
              <w:t>11 796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F8C27C5" w14:textId="77777777">
            <w:pPr>
              <w:pStyle w:val="Tab3MiddleColNonGras"/>
              <w:rPr>
                <w:lang w:val="fr-FR"/>
              </w:rPr>
            </w:pPr>
            <w:r>
              <w:rPr>
                <w:lang w:val="fr-FR"/>
              </w:rPr>
              <w:t>611 748,73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EDE82FD" w14:textId="77777777">
            <w:pPr>
              <w:pStyle w:val="Tab3LastColNonGras"/>
              <w:rPr>
                <w:lang w:val="fr-FR"/>
              </w:rPr>
            </w:pPr>
            <w:r>
              <w:rPr>
                <w:lang w:val="fr-FR"/>
              </w:rPr>
              <w:t>0,18</w:t>
            </w:r>
          </w:p>
        </w:tc>
      </w:tr>
      <w:tr w14:paraId="53D7C08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51B0D5B" w14:textId="77777777">
            <w:pPr>
              <w:pStyle w:val="Tab3FirstColNonGras"/>
              <w:rPr>
                <w:lang w:val="fr-FR"/>
              </w:rPr>
            </w:pPr>
            <w:r>
              <w:rPr>
                <w:lang w:val="fr-FR"/>
              </w:rPr>
              <w:t>KINGFISHER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9DC2B8E"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E7FDC13" w14:textId="77777777">
            <w:pPr>
              <w:pStyle w:val="Tab3MiddleColNonGras"/>
              <w:rPr>
                <w:lang w:val="fr-FR"/>
              </w:rPr>
            </w:pPr>
            <w:r>
              <w:rPr>
                <w:lang w:val="fr-FR"/>
              </w:rPr>
              <w:t>2 717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A2A978C" w14:textId="77777777">
            <w:pPr>
              <w:pStyle w:val="Tab3MiddleColNonGras"/>
              <w:rPr>
                <w:lang w:val="fr-FR"/>
              </w:rPr>
            </w:pPr>
            <w:r>
              <w:rPr>
                <w:lang w:val="fr-FR"/>
              </w:rPr>
              <w:t>10 827,27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F04BD1C" w14:textId="77777777">
            <w:pPr>
              <w:pStyle w:val="Tab3LastColNonGras"/>
              <w:rPr>
                <w:lang w:val="fr-FR"/>
              </w:rPr>
            </w:pPr>
            <w:r>
              <w:rPr>
                <w:lang w:val="fr-FR"/>
              </w:rPr>
              <w:t>0,00</w:t>
            </w:r>
          </w:p>
        </w:tc>
      </w:tr>
      <w:tr w14:paraId="1800BD5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702B1D9" w14:textId="77777777">
            <w:pPr>
              <w:pStyle w:val="Tab3FirstColNonGras"/>
              <w:rPr>
                <w:lang w:val="fr-FR"/>
              </w:rPr>
            </w:pPr>
            <w:r>
              <w:rPr>
                <w:lang w:val="fr-FR"/>
              </w:rPr>
              <w:t>LOWE'S COS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D6D966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02F5BE2" w14:textId="77777777">
            <w:pPr>
              <w:pStyle w:val="Tab3MiddleColNonGras"/>
              <w:rPr>
                <w:lang w:val="fr-FR"/>
              </w:rPr>
            </w:pPr>
            <w:r>
              <w:rPr>
                <w:lang w:val="fr-FR"/>
              </w:rPr>
              <w:t>2 659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3E4D9F9" w14:textId="77777777">
            <w:pPr>
              <w:pStyle w:val="Tab3MiddleColNonGras"/>
              <w:rPr>
                <w:lang w:val="fr-FR"/>
              </w:rPr>
            </w:pPr>
            <w:r>
              <w:rPr>
                <w:lang w:val="fr-FR"/>
              </w:rPr>
              <w:t>589 952,33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D8AFC60" w14:textId="77777777">
            <w:pPr>
              <w:pStyle w:val="Tab3LastColNonGras"/>
              <w:rPr>
                <w:lang w:val="fr-FR"/>
              </w:rPr>
            </w:pPr>
            <w:r>
              <w:rPr>
                <w:lang w:val="fr-FR"/>
              </w:rPr>
              <w:t>0,17</w:t>
            </w:r>
          </w:p>
        </w:tc>
      </w:tr>
      <w:tr w14:paraId="31088AD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F6BF9CF" w14:textId="77777777">
            <w:pPr>
              <w:pStyle w:val="Tab3FirstColNonGras"/>
              <w:rPr>
                <w:lang w:val="fr-FR"/>
              </w:rPr>
            </w:pPr>
            <w:r>
              <w:rPr>
                <w:lang w:val="fr-FR"/>
              </w:rPr>
              <w:t>MONCLER SPA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C5B602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885806D" w14:textId="77777777">
            <w:pPr>
              <w:pStyle w:val="Tab3MiddleColNonGras"/>
              <w:rPr>
                <w:lang w:val="fr-FR"/>
              </w:rPr>
            </w:pPr>
            <w:r>
              <w:rPr>
                <w:lang w:val="fr-FR"/>
              </w:rPr>
              <w:t>2 147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49CCCE2" w14:textId="77777777">
            <w:pPr>
              <w:pStyle w:val="Tab3MiddleColNonGras"/>
              <w:rPr>
                <w:lang w:val="fr-FR"/>
              </w:rPr>
            </w:pPr>
            <w:r>
              <w:rPr>
                <w:lang w:val="fr-FR"/>
              </w:rPr>
              <w:t>121 955,19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E6CDA88" w14:textId="77777777">
            <w:pPr>
              <w:pStyle w:val="Tab3LastColNonGras"/>
              <w:rPr>
                <w:lang w:val="fr-FR"/>
              </w:rPr>
            </w:pPr>
            <w:r>
              <w:rPr>
                <w:lang w:val="fr-FR"/>
              </w:rPr>
              <w:t>0,04</w:t>
            </w:r>
          </w:p>
        </w:tc>
      </w:tr>
      <w:tr w14:paraId="2C3B501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FC348A0" w14:textId="77777777">
            <w:pPr>
              <w:pStyle w:val="Tab3FirstColNonGras"/>
              <w:rPr>
                <w:lang w:val="fr-FR"/>
              </w:rPr>
            </w:pPr>
            <w:r>
              <w:rPr>
                <w:lang w:val="fr-FR"/>
              </w:rPr>
              <w:t>NITORI HOLDINGS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1C5F8E4"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2EA29B4" w14:textId="77777777">
            <w:pPr>
              <w:pStyle w:val="Tab3MiddleColNonGras"/>
              <w:rPr>
                <w:lang w:val="fr-FR"/>
              </w:rPr>
            </w:pPr>
            <w:r>
              <w:rPr>
                <w:lang w:val="fr-FR"/>
              </w:rPr>
              <w:t>800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C4EC75D" w14:textId="77777777">
            <w:pPr>
              <w:pStyle w:val="Tab3MiddleColNonGras"/>
              <w:rPr>
                <w:lang w:val="fr-FR"/>
              </w:rPr>
            </w:pPr>
            <w:r>
              <w:rPr>
                <w:lang w:val="fr-FR"/>
              </w:rPr>
              <w:t>77 095,09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54326FB" w14:textId="77777777">
            <w:pPr>
              <w:pStyle w:val="Tab3LastColNonGras"/>
              <w:rPr>
                <w:lang w:val="fr-FR"/>
              </w:rPr>
            </w:pPr>
            <w:r>
              <w:rPr>
                <w:lang w:val="fr-FR"/>
              </w:rPr>
              <w:t>0,02</w:t>
            </w:r>
          </w:p>
        </w:tc>
      </w:tr>
      <w:tr w14:paraId="40CDA00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A7D35C8" w14:textId="77777777">
            <w:pPr>
              <w:pStyle w:val="Tab3FirstColNonGras"/>
              <w:rPr>
                <w:lang w:val="fr-FR"/>
              </w:rPr>
            </w:pPr>
            <w:r>
              <w:rPr>
                <w:lang w:val="fr-FR"/>
              </w:rPr>
              <w:t>ROSS STORES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085444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3990CC5" w14:textId="77777777">
            <w:pPr>
              <w:pStyle w:val="Tab3MiddleColNonGras"/>
              <w:rPr>
                <w:lang w:val="fr-FR"/>
              </w:rPr>
            </w:pPr>
            <w:r>
              <w:rPr>
                <w:lang w:val="fr-FR"/>
              </w:rPr>
              <w:t>3 065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18BA527" w14:textId="77777777">
            <w:pPr>
              <w:pStyle w:val="Tab3MiddleColNonGras"/>
              <w:rPr>
                <w:lang w:val="fr-FR"/>
              </w:rPr>
            </w:pPr>
            <w:r>
              <w:rPr>
                <w:lang w:val="fr-FR"/>
              </w:rPr>
              <w:t>391 032,70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54B9CDE" w14:textId="77777777">
            <w:pPr>
              <w:pStyle w:val="Tab3LastColNonGras"/>
              <w:rPr>
                <w:lang w:val="fr-FR"/>
              </w:rPr>
            </w:pPr>
            <w:r>
              <w:rPr>
                <w:lang w:val="fr-FR"/>
              </w:rPr>
              <w:t>0,11</w:t>
            </w:r>
          </w:p>
        </w:tc>
      </w:tr>
      <w:tr w14:paraId="56B330C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B801869" w14:textId="77777777">
            <w:pPr>
              <w:pStyle w:val="Tab3FirstColNonGras"/>
              <w:rPr>
                <w:lang w:val="fr-FR"/>
              </w:rPr>
            </w:pPr>
            <w:r>
              <w:rPr>
                <w:lang w:val="fr-FR"/>
              </w:rPr>
              <w:t>SANRIO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C354A03"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3653512" w14:textId="77777777">
            <w:pPr>
              <w:pStyle w:val="Tab3MiddleColNonGras"/>
              <w:rPr>
                <w:lang w:val="fr-FR"/>
              </w:rPr>
            </w:pPr>
            <w:r>
              <w:rPr>
                <w:lang w:val="fr-FR"/>
              </w:rPr>
              <w:t>2 000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CB1E79A" w14:textId="77777777">
            <w:pPr>
              <w:pStyle w:val="Tab3MiddleColNonGras"/>
              <w:rPr>
                <w:lang w:val="fr-FR"/>
              </w:rPr>
            </w:pPr>
            <w:r>
              <w:rPr>
                <w:lang w:val="fr-FR"/>
              </w:rPr>
              <w:t>96 479,64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00EE6A6" w14:textId="77777777">
            <w:pPr>
              <w:pStyle w:val="Tab3LastColNonGras"/>
              <w:rPr>
                <w:lang w:val="fr-FR"/>
              </w:rPr>
            </w:pPr>
            <w:r>
              <w:rPr>
                <w:lang w:val="fr-FR"/>
              </w:rPr>
              <w:t>0,03</w:t>
            </w:r>
          </w:p>
        </w:tc>
      </w:tr>
      <w:tr w14:paraId="56C7E4C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362AD77" w14:textId="77777777">
            <w:pPr>
              <w:pStyle w:val="Tab3FirstColNonGras"/>
              <w:rPr>
                <w:lang w:val="fr-FR"/>
              </w:rPr>
            </w:pPr>
            <w:r>
              <w:rPr>
                <w:lang w:val="fr-FR"/>
              </w:rPr>
              <w:t>SHERWIN-WILLIAMS CO/THE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BA582A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792F586" w14:textId="77777777">
            <w:pPr>
              <w:pStyle w:val="Tab3MiddleColNonGras"/>
              <w:rPr>
                <w:lang w:val="fr-FR"/>
              </w:rPr>
            </w:pPr>
            <w:r>
              <w:rPr>
                <w:lang w:val="fr-FR"/>
              </w:rPr>
              <w:t>2 050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BE1E507" w14:textId="77777777">
            <w:pPr>
              <w:pStyle w:val="Tab3MiddleColNonGras"/>
              <w:rPr>
                <w:lang w:val="fr-FR"/>
              </w:rPr>
            </w:pPr>
            <w:r>
              <w:rPr>
                <w:lang w:val="fr-FR"/>
              </w:rPr>
              <w:t>703 888,00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41C2518" w14:textId="77777777">
            <w:pPr>
              <w:pStyle w:val="Tab3LastColNonGras"/>
              <w:rPr>
                <w:lang w:val="fr-FR"/>
              </w:rPr>
            </w:pPr>
            <w:r>
              <w:rPr>
                <w:lang w:val="fr-FR"/>
              </w:rPr>
              <w:t>0,20</w:t>
            </w:r>
          </w:p>
        </w:tc>
      </w:tr>
      <w:tr w14:paraId="7045EC0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D9FB48D" w14:textId="77777777">
            <w:pPr>
              <w:pStyle w:val="Tab3FirstColNonGras"/>
              <w:rPr>
                <w:lang w:val="fr-FR"/>
              </w:rPr>
            </w:pPr>
            <w:r>
              <w:rPr>
                <w:lang w:val="fr-FR"/>
              </w:rPr>
              <w:t>TJX COMPANIES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2DE696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97E68A4" w14:textId="77777777">
            <w:pPr>
              <w:pStyle w:val="Tab3MiddleColNonGras"/>
              <w:rPr>
                <w:lang w:val="fr-FR"/>
              </w:rPr>
            </w:pPr>
            <w:r>
              <w:rPr>
                <w:lang w:val="fr-FR"/>
              </w:rPr>
              <w:t>10 188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1811559" w14:textId="77777777">
            <w:pPr>
              <w:pStyle w:val="Tab3MiddleColNonGras"/>
              <w:rPr>
                <w:lang w:val="fr-FR"/>
              </w:rPr>
            </w:pPr>
            <w:r>
              <w:rPr>
                <w:lang w:val="fr-FR"/>
              </w:rPr>
              <w:t>1 258 116,12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01CE9E7" w14:textId="77777777">
            <w:pPr>
              <w:pStyle w:val="Tab3LastColNonGras"/>
              <w:rPr>
                <w:lang w:val="fr-FR"/>
              </w:rPr>
            </w:pPr>
            <w:r>
              <w:rPr>
                <w:lang w:val="fr-FR"/>
              </w:rPr>
              <w:t>0,36</w:t>
            </w:r>
          </w:p>
        </w:tc>
      </w:tr>
      <w:tr w14:paraId="1AD0421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57DA436" w14:textId="77777777">
            <w:pPr>
              <w:pStyle w:val="Tab3FirstColNonGras"/>
              <w:rPr>
                <w:lang w:val="fr-FR"/>
              </w:rPr>
            </w:pPr>
            <w:r>
              <w:rPr>
                <w:lang w:val="fr-FR"/>
              </w:rPr>
              <w:t>TRACTOR SUPPLY COMPANY</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0118CA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C4D9EC3" w14:textId="77777777">
            <w:pPr>
              <w:pStyle w:val="Tab3MiddleColNonGras"/>
              <w:rPr>
                <w:lang w:val="fr-FR"/>
              </w:rPr>
            </w:pPr>
            <w:r>
              <w:rPr>
                <w:lang w:val="fr-FR"/>
              </w:rPr>
              <w:t>6 061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8D06C3F" w14:textId="77777777">
            <w:pPr>
              <w:pStyle w:val="Tab3MiddleColNonGras"/>
              <w:rPr>
                <w:lang w:val="fr-FR"/>
              </w:rPr>
            </w:pPr>
            <w:r>
              <w:rPr>
                <w:lang w:val="fr-FR"/>
              </w:rPr>
              <w:t>319 838,97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ED55FFD" w14:textId="77777777">
            <w:pPr>
              <w:pStyle w:val="Tab3LastColNonGras"/>
              <w:rPr>
                <w:lang w:val="fr-FR"/>
              </w:rPr>
            </w:pPr>
            <w:r>
              <w:rPr>
                <w:lang w:val="fr-FR"/>
              </w:rPr>
              <w:t>0,09</w:t>
            </w:r>
          </w:p>
        </w:tc>
      </w:tr>
      <w:tr w14:paraId="52EC3B5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284CD71" w14:textId="77777777">
            <w:pPr>
              <w:pStyle w:val="Tab3FirstColNonGras"/>
              <w:rPr>
                <w:lang w:val="fr-FR"/>
              </w:rPr>
            </w:pPr>
            <w:r>
              <w:rPr>
                <w:lang w:val="fr-FR"/>
              </w:rPr>
              <w:t>WILLIAMS-SONOMA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BCA346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74930C8" w14:textId="77777777">
            <w:pPr>
              <w:pStyle w:val="Tab3MiddleColNonGras"/>
              <w:rPr>
                <w:lang w:val="fr-FR"/>
              </w:rPr>
            </w:pPr>
            <w:r>
              <w:rPr>
                <w:lang w:val="fr-FR"/>
              </w:rPr>
              <w:t>1 239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DE128B8" w14:textId="77777777">
            <w:pPr>
              <w:pStyle w:val="Tab3MiddleColNonGras"/>
              <w:rPr>
                <w:lang w:val="fr-FR"/>
              </w:rPr>
            </w:pPr>
            <w:r>
              <w:rPr>
                <w:lang w:val="fr-FR"/>
              </w:rPr>
              <w:t>202 415,43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1E4004B" w14:textId="77777777">
            <w:pPr>
              <w:pStyle w:val="Tab3LastColNonGras"/>
              <w:rPr>
                <w:lang w:val="fr-FR"/>
              </w:rPr>
            </w:pPr>
            <w:r>
              <w:rPr>
                <w:lang w:val="fr-FR"/>
              </w:rPr>
              <w:t>0,06</w:t>
            </w:r>
          </w:p>
        </w:tc>
      </w:tr>
      <w:tr w14:paraId="19B2B70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4BADBA25" w14:textId="77777777">
            <w:pPr>
              <w:pStyle w:val="Tab1FirstColGras"/>
              <w:rPr>
                <w:lang w:val="fr-FR"/>
              </w:rPr>
            </w:pPr>
            <w:r>
              <w:rPr>
                <w:lang w:val="fr-FR"/>
              </w:rPr>
              <w:t>Divertissement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62CAFE1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2082EB1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59808074" w14:textId="77777777">
            <w:pPr>
              <w:pStyle w:val="Tab1MiddleColGras"/>
              <w:rPr>
                <w:lang w:val="fr-FR"/>
              </w:rPr>
            </w:pPr>
            <w:r>
              <w:rPr>
                <w:lang w:val="fr-FR"/>
              </w:rPr>
              <w:t>4 593 105,70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1CCD276" w14:textId="77777777">
            <w:pPr>
              <w:pStyle w:val="Tab1LastColGras"/>
              <w:rPr>
                <w:lang w:val="fr-FR"/>
              </w:rPr>
            </w:pPr>
            <w:r>
              <w:rPr>
                <w:lang w:val="fr-FR"/>
              </w:rPr>
              <w:t>1,32</w:t>
            </w:r>
          </w:p>
        </w:tc>
      </w:tr>
      <w:tr w14:paraId="44A272A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8258B25" w14:textId="77777777">
            <w:pPr>
              <w:pStyle w:val="Tab3FirstColNonGras"/>
              <w:rPr>
                <w:lang w:val="fr-FR"/>
              </w:rPr>
            </w:pPr>
            <w:r>
              <w:rPr>
                <w:lang w:val="fr-FR"/>
              </w:rPr>
              <w:t>CAPCOM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357FC55"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1782650" w14:textId="77777777">
            <w:pPr>
              <w:pStyle w:val="Tab3MiddleColNonGras"/>
              <w:rPr>
                <w:lang w:val="fr-FR"/>
              </w:rPr>
            </w:pPr>
            <w:r>
              <w:rPr>
                <w:lang w:val="fr-FR"/>
              </w:rPr>
              <w:t>2 000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962B84F" w14:textId="77777777">
            <w:pPr>
              <w:pStyle w:val="Tab3MiddleColNonGras"/>
              <w:rPr>
                <w:lang w:val="fr-FR"/>
              </w:rPr>
            </w:pPr>
            <w:r>
              <w:rPr>
                <w:lang w:val="fr-FR"/>
              </w:rPr>
              <w:t>68 302,82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B45823E" w14:textId="77777777">
            <w:pPr>
              <w:pStyle w:val="Tab3LastColNonGras"/>
              <w:rPr>
                <w:lang w:val="fr-FR"/>
              </w:rPr>
            </w:pPr>
            <w:r>
              <w:rPr>
                <w:lang w:val="fr-FR"/>
              </w:rPr>
              <w:t>0,02</w:t>
            </w:r>
          </w:p>
        </w:tc>
      </w:tr>
      <w:tr w14:paraId="39A2393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2715E469" w14:textId="77777777">
            <w:pPr>
              <w:pStyle w:val="Tab3FirstColNonGras"/>
              <w:rPr>
                <w:lang w:val="en-US"/>
              </w:rPr>
            </w:pPr>
            <w:r w:rsidRPr="00D61EB0">
              <w:rPr>
                <w:lang w:val="en-US"/>
              </w:rPr>
              <w:t>CTS EVENTIM AG &amp; CO KGAA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DE8654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781A25E" w14:textId="77777777">
            <w:pPr>
              <w:pStyle w:val="Tab3MiddleColNonGras"/>
              <w:rPr>
                <w:lang w:val="fr-FR"/>
              </w:rPr>
            </w:pPr>
            <w:r>
              <w:rPr>
                <w:lang w:val="fr-FR"/>
              </w:rPr>
              <w:t>276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33EC09F" w14:textId="77777777">
            <w:pPr>
              <w:pStyle w:val="Tab3MiddleColNonGras"/>
              <w:rPr>
                <w:lang w:val="fr-FR"/>
              </w:rPr>
            </w:pPr>
            <w:r>
              <w:rPr>
                <w:lang w:val="fr-FR"/>
              </w:rPr>
              <w:t>34 147,77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97070C0" w14:textId="77777777">
            <w:pPr>
              <w:pStyle w:val="Tab3LastColNonGras"/>
              <w:rPr>
                <w:lang w:val="fr-FR"/>
              </w:rPr>
            </w:pPr>
            <w:r>
              <w:rPr>
                <w:lang w:val="fr-FR"/>
              </w:rPr>
              <w:t>0,01</w:t>
            </w:r>
          </w:p>
        </w:tc>
      </w:tr>
    </w:tbl>
    <w:p w:rsidR="001F4AEE" w14:paraId="1F78AC33" w14:textId="77777777">
      <w:pPr>
        <w:sectPr>
          <w:headerReference w:type="default" r:id="rId30"/>
          <w:footerReference w:type="default" r:id="rId31"/>
          <w:pgSz w:w="11900" w:h="16840"/>
          <w:pgMar w:top="2154" w:right="1134" w:bottom="1134" w:left="1134" w:header="400" w:footer="400" w:gutter="0"/>
          <w:cols w:space="720"/>
        </w:sectPr>
      </w:pPr>
    </w:p>
    <w:p w:rsidR="001F4AEE" w14:paraId="7372D81F" w14:textId="77777777">
      <w:pPr>
        <w:spacing w:line="30" w:lineRule="exact"/>
        <w:rPr>
          <w:sz w:val="3"/>
        </w:rPr>
      </w:pPr>
    </w:p>
    <w:p w:rsidR="001F4AEE" w14:paraId="17DA14ED" w14:textId="77777777">
      <w:pPr>
        <w:pStyle w:val="TechnicalBookmark"/>
        <w:rPr>
          <w:lang w:val="fr-FR"/>
        </w:rPr>
      </w:pPr>
      <w:r>
        <w:rPr>
          <w:lang w:val="fr-FR"/>
        </w:rPr>
        <w:fldChar w:fldCharType="begin"/>
      </w:r>
      <w:r>
        <w:rPr>
          <w:lang w:val="fr-FR"/>
        </w:rPr>
        <w:instrText xml:space="preserve"> SET 5CDF54B50D5DFEAE8B0BFB4C73F0A030 "" </w:instrText>
      </w:r>
      <w:r>
        <w:rPr>
          <w:lang w:val="fr-FR"/>
        </w:rPr>
        <w:fldChar w:fldCharType="separate"/>
      </w:r>
      <w:bookmarkStart w:id="86" w:name="5CDF54B50D5DFEAE8B0BFB4C73F0A030"/>
      <w:bookmarkEnd w:id="86"/>
      <w:r>
        <w:rPr>
          <w:lang w:val="fr-FR"/>
        </w:rPr>
        <w:fldChar w:fldCharType="end"/>
      </w:r>
    </w:p>
    <w:p w:rsidR="001F4AEE" w14:paraId="24617EB9" w14:textId="77777777">
      <w:pPr>
        <w:pStyle w:val="H2"/>
        <w:rPr>
          <w:lang w:val="fr-FR"/>
        </w:rPr>
      </w:pPr>
      <w:r>
        <w:rPr>
          <w:lang w:val="fr-FR"/>
        </w:rPr>
        <w:t xml:space="preserve">Inventaire des éléments de bilan </w:t>
      </w:r>
    </w:p>
    <w:p w:rsidR="001F4AEE" w14:paraId="4B4742A4" w14:textId="77777777">
      <w:pPr>
        <w:pStyle w:val="NoRefToc"/>
        <w:rPr>
          <w:lang w:val="fr-FR"/>
        </w:rPr>
      </w:pPr>
    </w:p>
    <w:p w:rsidR="001F4AEE" w14:paraId="07D479B4" w14:textId="77777777">
      <w:pPr>
        <w:pStyle w:val="TechnicalBookmark"/>
        <w:rPr>
          <w:lang w:val="fr-FR"/>
        </w:rPr>
      </w:pPr>
      <w:r>
        <w:rPr>
          <w:lang w:val="fr-FR"/>
        </w:rPr>
        <w:fldChar w:fldCharType="begin"/>
      </w:r>
      <w:r>
        <w:rPr>
          <w:lang w:val="fr-FR"/>
        </w:rPr>
        <w:instrText xml:space="preserve"> SET 6B9E783A6404F1B454DAD3B86D6295FF "" </w:instrText>
      </w:r>
      <w:r>
        <w:rPr>
          <w:lang w:val="fr-FR"/>
        </w:rPr>
        <w:fldChar w:fldCharType="separate"/>
      </w:r>
      <w:bookmarkStart w:id="87" w:name="6B9E783A6404F1B454DAD3B86D6295FF"/>
      <w:bookmarkEnd w:id="87"/>
      <w:r>
        <w:rPr>
          <w:lang w:val="fr-FR"/>
        </w:rPr>
        <w:fldChar w:fldCharType="end"/>
      </w:r>
    </w:p>
    <w:p w:rsidR="001F4AEE" w14:paraId="7D4DA5FC"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0D3BBA53"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26E5AC36"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40C4A3D"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7688EFF5" w14:textId="77777777">
            <w:pPr>
              <w:pStyle w:val="EnteteTabMiddleColBordure"/>
              <w:spacing w:line="184" w:lineRule="exact"/>
              <w:rPr>
                <w:lang w:val="fr-FR"/>
              </w:rPr>
            </w:pPr>
            <w:r>
              <w:rPr>
                <w:lang w:val="fr-FR"/>
              </w:rPr>
              <w:t>Quantité ou</w:t>
            </w:r>
          </w:p>
          <w:p w:rsidR="001F4AEE" w14:paraId="7E6A761F"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54287A9"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745B36BB" w14:textId="77777777">
            <w:pPr>
              <w:pStyle w:val="EnteteTabLastColBordure"/>
              <w:spacing w:line="184" w:lineRule="exact"/>
              <w:rPr>
                <w:lang w:val="fr-FR"/>
              </w:rPr>
            </w:pPr>
            <w:r>
              <w:rPr>
                <w:lang w:val="fr-FR"/>
              </w:rPr>
              <w:t>% Actif</w:t>
            </w:r>
          </w:p>
          <w:p w:rsidR="001F4AEE" w14:paraId="6A4FAA0E" w14:textId="77777777">
            <w:pPr>
              <w:pStyle w:val="EnteteTabLastColBordure"/>
              <w:spacing w:line="184" w:lineRule="exact"/>
              <w:rPr>
                <w:lang w:val="fr-FR"/>
              </w:rPr>
            </w:pPr>
            <w:r>
              <w:rPr>
                <w:lang w:val="fr-FR"/>
              </w:rPr>
              <w:t>Net</w:t>
            </w:r>
          </w:p>
        </w:tc>
      </w:tr>
      <w:tr w14:paraId="729F4E8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767B075" w14:textId="77777777">
            <w:pPr>
              <w:pStyle w:val="Tab3FirstColNonGras"/>
              <w:rPr>
                <w:lang w:val="fr-FR"/>
              </w:rPr>
            </w:pPr>
            <w:r>
              <w:rPr>
                <w:lang w:val="fr-FR"/>
              </w:rPr>
              <w:t>ELECTRONIC ARTS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FE95C1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67E7AD4" w14:textId="77777777">
            <w:pPr>
              <w:pStyle w:val="Tab3MiddleColNonGras"/>
              <w:rPr>
                <w:lang w:val="fr-FR"/>
              </w:rPr>
            </w:pPr>
            <w:r>
              <w:rPr>
                <w:lang w:val="fr-FR"/>
              </w:rPr>
              <w:t>1 179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D3AF1C2" w14:textId="77777777">
            <w:pPr>
              <w:pStyle w:val="Tab3MiddleColNonGras"/>
              <w:rPr>
                <w:lang w:val="fr-FR"/>
              </w:rPr>
            </w:pPr>
            <w:r>
              <w:rPr>
                <w:lang w:val="fr-FR"/>
              </w:rPr>
              <w:t>188 286,30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95951AD" w14:textId="77777777">
            <w:pPr>
              <w:pStyle w:val="Tab3LastColNonGras"/>
              <w:rPr>
                <w:lang w:val="fr-FR"/>
              </w:rPr>
            </w:pPr>
            <w:r>
              <w:rPr>
                <w:lang w:val="fr-FR"/>
              </w:rPr>
              <w:t>0,05</w:t>
            </w:r>
          </w:p>
        </w:tc>
      </w:tr>
      <w:tr w14:paraId="3FD9E60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493CA62" w14:textId="77777777">
            <w:pPr>
              <w:pStyle w:val="Tab3FirstColNonGras"/>
              <w:rPr>
                <w:lang w:val="fr-FR"/>
              </w:rPr>
            </w:pPr>
            <w:r>
              <w:rPr>
                <w:lang w:val="fr-FR"/>
              </w:rPr>
              <w:t>KONAMI GROUP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4C806DE"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8BC3063" w14:textId="77777777">
            <w:pPr>
              <w:pStyle w:val="Tab3MiddleColNonGras"/>
              <w:rPr>
                <w:lang w:val="fr-FR"/>
              </w:rPr>
            </w:pPr>
            <w:r>
              <w:rPr>
                <w:lang w:val="fr-FR"/>
              </w:rPr>
              <w:t>400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6993994" w14:textId="77777777">
            <w:pPr>
              <w:pStyle w:val="Tab3MiddleColNonGras"/>
              <w:rPr>
                <w:lang w:val="fr-FR"/>
              </w:rPr>
            </w:pPr>
            <w:r>
              <w:rPr>
                <w:lang w:val="fr-FR"/>
              </w:rPr>
              <w:t>63 179,76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F42C704" w14:textId="77777777">
            <w:pPr>
              <w:pStyle w:val="Tab3LastColNonGras"/>
              <w:rPr>
                <w:lang w:val="fr-FR"/>
              </w:rPr>
            </w:pPr>
            <w:r>
              <w:rPr>
                <w:lang w:val="fr-FR"/>
              </w:rPr>
              <w:t>0,02</w:t>
            </w:r>
          </w:p>
        </w:tc>
      </w:tr>
      <w:tr w14:paraId="7B4D0C3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5599074" w14:textId="77777777">
            <w:pPr>
              <w:pStyle w:val="Tab3FirstColNonGras"/>
              <w:rPr>
                <w:lang w:val="fr-FR"/>
              </w:rPr>
            </w:pPr>
            <w:r>
              <w:rPr>
                <w:lang w:val="fr-FR"/>
              </w:rPr>
              <w:t>LIVE NATION ENTERTAINMENT IN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8076EA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02E006C" w14:textId="77777777">
            <w:pPr>
              <w:pStyle w:val="Tab3MiddleColNonGras"/>
              <w:rPr>
                <w:lang w:val="fr-FR"/>
              </w:rPr>
            </w:pPr>
            <w:r>
              <w:rPr>
                <w:lang w:val="fr-FR"/>
              </w:rPr>
              <w:t>762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FD308C7" w14:textId="77777777">
            <w:pPr>
              <w:pStyle w:val="Tab3MiddleColNonGras"/>
              <w:rPr>
                <w:lang w:val="fr-FR"/>
              </w:rPr>
            </w:pPr>
            <w:r>
              <w:rPr>
                <w:lang w:val="fr-FR"/>
              </w:rPr>
              <w:t>115 275,36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E047018" w14:textId="77777777">
            <w:pPr>
              <w:pStyle w:val="Tab3LastColNonGras"/>
              <w:rPr>
                <w:lang w:val="fr-FR"/>
              </w:rPr>
            </w:pPr>
            <w:r>
              <w:rPr>
                <w:lang w:val="fr-FR"/>
              </w:rPr>
              <w:t>0,03</w:t>
            </w:r>
          </w:p>
        </w:tc>
      </w:tr>
      <w:tr w14:paraId="0492EA3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5DB0029" w14:textId="77777777">
            <w:pPr>
              <w:pStyle w:val="Tab3FirstColNonGras"/>
              <w:rPr>
                <w:lang w:val="fr-FR"/>
              </w:rPr>
            </w:pPr>
            <w:r>
              <w:rPr>
                <w:lang w:val="fr-FR"/>
              </w:rPr>
              <w:t>NETFLIX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DA1FEB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AB643F8" w14:textId="77777777">
            <w:pPr>
              <w:pStyle w:val="Tab3MiddleColNonGras"/>
              <w:rPr>
                <w:lang w:val="fr-FR"/>
              </w:rPr>
            </w:pPr>
            <w:r>
              <w:rPr>
                <w:lang w:val="fr-FR"/>
              </w:rPr>
              <w:t>2 117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D5A5A7C" w14:textId="77777777">
            <w:pPr>
              <w:pStyle w:val="Tab3MiddleColNonGras"/>
              <w:rPr>
                <w:lang w:val="fr-FR"/>
              </w:rPr>
            </w:pPr>
            <w:r>
              <w:rPr>
                <w:lang w:val="fr-FR"/>
              </w:rPr>
              <w:t>2 834 938,21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E4E1546" w14:textId="77777777">
            <w:pPr>
              <w:pStyle w:val="Tab3LastColNonGras"/>
              <w:rPr>
                <w:lang w:val="fr-FR"/>
              </w:rPr>
            </w:pPr>
            <w:r>
              <w:rPr>
                <w:lang w:val="fr-FR"/>
              </w:rPr>
              <w:t>0,83</w:t>
            </w:r>
          </w:p>
        </w:tc>
      </w:tr>
      <w:tr w14:paraId="1C8139F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32ED90E" w14:textId="77777777">
            <w:pPr>
              <w:pStyle w:val="Tab3FirstColNonGras"/>
              <w:rPr>
                <w:lang w:val="fr-FR"/>
              </w:rPr>
            </w:pPr>
            <w:r>
              <w:rPr>
                <w:lang w:val="fr-FR"/>
              </w:rPr>
              <w:t>NINTENDO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749A89C"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FD616D4" w14:textId="77777777">
            <w:pPr>
              <w:pStyle w:val="Tab3MiddleColNonGras"/>
              <w:rPr>
                <w:lang w:val="fr-FR"/>
              </w:rPr>
            </w:pPr>
            <w:r>
              <w:rPr>
                <w:lang w:val="fr-FR"/>
              </w:rPr>
              <w:t>5 200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33698A9" w14:textId="77777777">
            <w:pPr>
              <w:pStyle w:val="Tab3MiddleColNonGras"/>
              <w:rPr>
                <w:lang w:val="fr-FR"/>
              </w:rPr>
            </w:pPr>
            <w:r>
              <w:rPr>
                <w:lang w:val="fr-FR"/>
              </w:rPr>
              <w:t>499 678,11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08B567A" w14:textId="77777777">
            <w:pPr>
              <w:pStyle w:val="Tab3LastColNonGras"/>
              <w:rPr>
                <w:lang w:val="fr-FR"/>
              </w:rPr>
            </w:pPr>
            <w:r>
              <w:rPr>
                <w:lang w:val="fr-FR"/>
              </w:rPr>
              <w:t>0,14</w:t>
            </w:r>
          </w:p>
        </w:tc>
      </w:tr>
      <w:tr w14:paraId="008CED7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498D886" w14:textId="77777777">
            <w:pPr>
              <w:pStyle w:val="Tab3FirstColNonGras"/>
              <w:rPr>
                <w:lang w:val="fr-FR"/>
              </w:rPr>
            </w:pPr>
            <w:r>
              <w:rPr>
                <w:lang w:val="fr-FR"/>
              </w:rPr>
              <w:t>ROBLOX CORP -CLASS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6B75DD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3975CFE" w14:textId="77777777">
            <w:pPr>
              <w:pStyle w:val="Tab3MiddleColNonGras"/>
              <w:rPr>
                <w:lang w:val="fr-FR"/>
              </w:rPr>
            </w:pPr>
            <w:r>
              <w:rPr>
                <w:lang w:val="fr-FR"/>
              </w:rPr>
              <w:t>2 634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0D740FC" w14:textId="77777777">
            <w:pPr>
              <w:pStyle w:val="Tab3MiddleColNonGras"/>
              <w:rPr>
                <w:lang w:val="fr-FR"/>
              </w:rPr>
            </w:pPr>
            <w:r>
              <w:rPr>
                <w:lang w:val="fr-FR"/>
              </w:rPr>
              <w:t>277 096,80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CE4CCAD" w14:textId="77777777">
            <w:pPr>
              <w:pStyle w:val="Tab3LastColNonGras"/>
              <w:rPr>
                <w:lang w:val="fr-FR"/>
              </w:rPr>
            </w:pPr>
            <w:r>
              <w:rPr>
                <w:lang w:val="fr-FR"/>
              </w:rPr>
              <w:t>0,08</w:t>
            </w:r>
          </w:p>
        </w:tc>
      </w:tr>
      <w:tr w14:paraId="6B7C30B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97F38FD" w14:textId="77777777">
            <w:pPr>
              <w:pStyle w:val="Tab3FirstColNonGras"/>
              <w:rPr>
                <w:lang w:val="fr-FR"/>
              </w:rPr>
            </w:pPr>
            <w:r>
              <w:rPr>
                <w:lang w:val="fr-FR"/>
              </w:rPr>
              <w:t>TAKE-TWO INTERACTIVE SOFTWRE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0BA095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C0451B3" w14:textId="77777777">
            <w:pPr>
              <w:pStyle w:val="Tab3MiddleColNonGras"/>
              <w:rPr>
                <w:lang w:val="fr-FR"/>
              </w:rPr>
            </w:pPr>
            <w:r>
              <w:rPr>
                <w:lang w:val="fr-FR"/>
              </w:rPr>
              <w:t>874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CBF21BC" w14:textId="77777777">
            <w:pPr>
              <w:pStyle w:val="Tab3MiddleColNonGras"/>
              <w:rPr>
                <w:lang w:val="fr-FR"/>
              </w:rPr>
            </w:pPr>
            <w:r>
              <w:rPr>
                <w:lang w:val="fr-FR"/>
              </w:rPr>
              <w:t>212 250,90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B7DFDBE" w14:textId="77777777">
            <w:pPr>
              <w:pStyle w:val="Tab3LastColNonGras"/>
              <w:rPr>
                <w:lang w:val="fr-FR"/>
              </w:rPr>
            </w:pPr>
            <w:r>
              <w:rPr>
                <w:lang w:val="fr-FR"/>
              </w:rPr>
              <w:t>0,06</w:t>
            </w:r>
          </w:p>
        </w:tc>
      </w:tr>
      <w:tr w14:paraId="34F6712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665123B" w14:textId="77777777">
            <w:pPr>
              <w:pStyle w:val="Tab3FirstColNonGras"/>
              <w:rPr>
                <w:lang w:val="fr-FR"/>
              </w:rPr>
            </w:pPr>
            <w:r>
              <w:rPr>
                <w:lang w:val="fr-FR"/>
              </w:rPr>
              <w:t>UNIVERSAL MUSIC GROUP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E7914C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61E4093" w14:textId="77777777">
            <w:pPr>
              <w:pStyle w:val="Tab3MiddleColNonGras"/>
              <w:rPr>
                <w:lang w:val="fr-FR"/>
              </w:rPr>
            </w:pPr>
            <w:r>
              <w:rPr>
                <w:lang w:val="fr-FR"/>
              </w:rPr>
              <w:t>5 914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1A02909" w14:textId="77777777">
            <w:pPr>
              <w:pStyle w:val="Tab3MiddleColNonGras"/>
              <w:rPr>
                <w:lang w:val="fr-FR"/>
              </w:rPr>
            </w:pPr>
            <w:r>
              <w:rPr>
                <w:lang w:val="fr-FR"/>
              </w:rPr>
              <w:t>190 770,25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8530BBF" w14:textId="77777777">
            <w:pPr>
              <w:pStyle w:val="Tab3LastColNonGras"/>
              <w:rPr>
                <w:lang w:val="fr-FR"/>
              </w:rPr>
            </w:pPr>
            <w:r>
              <w:rPr>
                <w:lang w:val="fr-FR"/>
              </w:rPr>
              <w:t>0,05</w:t>
            </w:r>
          </w:p>
        </w:tc>
      </w:tr>
      <w:tr w14:paraId="1963A79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D60E6E5" w14:textId="77777777">
            <w:pPr>
              <w:pStyle w:val="Tab3FirstColNonGras"/>
              <w:rPr>
                <w:lang w:val="fr-FR"/>
              </w:rPr>
            </w:pPr>
            <w:r>
              <w:rPr>
                <w:lang w:val="fr-FR"/>
              </w:rPr>
              <w:t>WARNER BROS DISCOVERY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986E2B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6B371C0" w14:textId="77777777">
            <w:pPr>
              <w:pStyle w:val="Tab3MiddleColNonGras"/>
              <w:rPr>
                <w:lang w:val="fr-FR"/>
              </w:rPr>
            </w:pPr>
            <w:r>
              <w:rPr>
                <w:lang w:val="fr-FR"/>
              </w:rPr>
              <w:t>9 527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D1F973C" w14:textId="77777777">
            <w:pPr>
              <w:pStyle w:val="Tab3MiddleColNonGras"/>
              <w:rPr>
                <w:lang w:val="fr-FR"/>
              </w:rPr>
            </w:pPr>
            <w:r>
              <w:rPr>
                <w:lang w:val="fr-FR"/>
              </w:rPr>
              <w:t>109 179,42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FF9B363" w14:textId="77777777">
            <w:pPr>
              <w:pStyle w:val="Tab3LastColNonGras"/>
              <w:rPr>
                <w:lang w:val="fr-FR"/>
              </w:rPr>
            </w:pPr>
            <w:r>
              <w:rPr>
                <w:lang w:val="fr-FR"/>
              </w:rPr>
              <w:t>0,03</w:t>
            </w:r>
          </w:p>
        </w:tc>
      </w:tr>
      <w:tr w14:paraId="32A8E30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F2148C3" w14:textId="77777777">
            <w:pPr>
              <w:pStyle w:val="Tab1FirstColGras"/>
              <w:rPr>
                <w:lang w:val="fr-FR"/>
              </w:rPr>
            </w:pPr>
            <w:r>
              <w:rPr>
                <w:lang w:val="fr-FR"/>
              </w:rPr>
              <w:t>Eau</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5AF132C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7237247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487EA6F9" w14:textId="77777777">
            <w:pPr>
              <w:pStyle w:val="Tab1MiddleColGras"/>
              <w:rPr>
                <w:lang w:val="fr-FR"/>
              </w:rPr>
            </w:pPr>
            <w:r>
              <w:rPr>
                <w:lang w:val="fr-FR"/>
              </w:rPr>
              <w:t>397 301,72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DD86BB5" w14:textId="77777777">
            <w:pPr>
              <w:pStyle w:val="Tab1LastColGras"/>
              <w:rPr>
                <w:lang w:val="fr-FR"/>
              </w:rPr>
            </w:pPr>
            <w:r>
              <w:rPr>
                <w:lang w:val="fr-FR"/>
              </w:rPr>
              <w:t>0,11</w:t>
            </w:r>
          </w:p>
        </w:tc>
      </w:tr>
      <w:tr w14:paraId="4988048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4199EEB" w14:textId="77777777">
            <w:pPr>
              <w:pStyle w:val="Tab3FirstColNonGras"/>
              <w:rPr>
                <w:lang w:val="fr-FR"/>
              </w:rPr>
            </w:pPr>
            <w:r>
              <w:rPr>
                <w:lang w:val="fr-FR"/>
              </w:rPr>
              <w:t>MERIDIAN ENERGY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5F25305" w14:textId="77777777">
            <w:pPr>
              <w:pStyle w:val="Tab1MiddleColNonGrasCentre"/>
              <w:rPr>
                <w:lang w:val="fr-FR"/>
              </w:rPr>
            </w:pPr>
            <w:r>
              <w:rPr>
                <w:lang w:val="fr-FR"/>
              </w:rPr>
              <w:t>NZD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C67C2C1" w14:textId="77777777">
            <w:pPr>
              <w:pStyle w:val="Tab3MiddleColNonGras"/>
              <w:rPr>
                <w:lang w:val="fr-FR"/>
              </w:rPr>
            </w:pPr>
            <w:r>
              <w:rPr>
                <w:lang w:val="fr-FR"/>
              </w:rPr>
              <w:t>45 348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3A73B16" w14:textId="77777777">
            <w:pPr>
              <w:pStyle w:val="Tab3MiddleColNonGras"/>
              <w:rPr>
                <w:lang w:val="fr-FR"/>
              </w:rPr>
            </w:pPr>
            <w:r>
              <w:rPr>
                <w:lang w:val="fr-FR"/>
              </w:rPr>
              <w:t>162 417,81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1926DB8" w14:textId="77777777">
            <w:pPr>
              <w:pStyle w:val="Tab3LastColNonGras"/>
              <w:rPr>
                <w:lang w:val="fr-FR"/>
              </w:rPr>
            </w:pPr>
            <w:r>
              <w:rPr>
                <w:lang w:val="fr-FR"/>
              </w:rPr>
              <w:t>0,04</w:t>
            </w:r>
          </w:p>
        </w:tc>
      </w:tr>
      <w:tr w14:paraId="4EDE809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223BE31" w14:textId="77777777">
            <w:pPr>
              <w:pStyle w:val="Tab3FirstColNonGras"/>
              <w:rPr>
                <w:lang w:val="fr-FR"/>
              </w:rPr>
            </w:pPr>
            <w:r>
              <w:rPr>
                <w:lang w:val="fr-FR"/>
              </w:rPr>
              <w:t>SEVERN TRENT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04401EB"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C0A5CFB" w14:textId="77777777">
            <w:pPr>
              <w:pStyle w:val="Tab3MiddleColNonGras"/>
              <w:rPr>
                <w:lang w:val="fr-FR"/>
              </w:rPr>
            </w:pPr>
            <w:r>
              <w:rPr>
                <w:lang w:val="fr-FR"/>
              </w:rPr>
              <w:t>3 383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49DD409" w14:textId="77777777">
            <w:pPr>
              <w:pStyle w:val="Tab3MiddleColNonGras"/>
              <w:rPr>
                <w:lang w:val="fr-FR"/>
              </w:rPr>
            </w:pPr>
            <w:r>
              <w:rPr>
                <w:lang w:val="fr-FR"/>
              </w:rPr>
              <w:t>126 746,23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5DC48B7" w14:textId="77777777">
            <w:pPr>
              <w:pStyle w:val="Tab3LastColNonGras"/>
              <w:rPr>
                <w:lang w:val="fr-FR"/>
              </w:rPr>
            </w:pPr>
            <w:r>
              <w:rPr>
                <w:lang w:val="fr-FR"/>
              </w:rPr>
              <w:t>0,04</w:t>
            </w:r>
          </w:p>
        </w:tc>
      </w:tr>
      <w:tr w14:paraId="118F941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8F871E8" w14:textId="77777777">
            <w:pPr>
              <w:pStyle w:val="Tab3FirstColNonGras"/>
              <w:rPr>
                <w:lang w:val="fr-FR"/>
              </w:rPr>
            </w:pPr>
            <w:r>
              <w:rPr>
                <w:lang w:val="fr-FR"/>
              </w:rPr>
              <w:t>UNITED UTILITIES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E36A293"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107E4AE" w14:textId="77777777">
            <w:pPr>
              <w:pStyle w:val="Tab3MiddleColNonGras"/>
              <w:rPr>
                <w:lang w:val="fr-FR"/>
              </w:rPr>
            </w:pPr>
            <w:r>
              <w:rPr>
                <w:lang w:val="fr-FR"/>
              </w:rPr>
              <w:t>6 913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6DCA3AD" w14:textId="77777777">
            <w:pPr>
              <w:pStyle w:val="Tab3MiddleColNonGras"/>
              <w:rPr>
                <w:lang w:val="fr-FR"/>
              </w:rPr>
            </w:pPr>
            <w:r>
              <w:rPr>
                <w:lang w:val="fr-FR"/>
              </w:rPr>
              <w:t>108 137,68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9801418" w14:textId="77777777">
            <w:pPr>
              <w:pStyle w:val="Tab3LastColNonGras"/>
              <w:rPr>
                <w:lang w:val="fr-FR"/>
              </w:rPr>
            </w:pPr>
            <w:r>
              <w:rPr>
                <w:lang w:val="fr-FR"/>
              </w:rPr>
              <w:t>0,03</w:t>
            </w:r>
          </w:p>
        </w:tc>
      </w:tr>
      <w:tr w14:paraId="4A31C52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4C31191C" w14:textId="77777777">
            <w:pPr>
              <w:pStyle w:val="Tab1FirstColGras"/>
              <w:rPr>
                <w:lang w:val="fr-FR"/>
              </w:rPr>
            </w:pPr>
            <w:r>
              <w:rPr>
                <w:lang w:val="fr-FR"/>
              </w:rPr>
              <w:t>Electricité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129D307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3358671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6178E4B4" w14:textId="77777777">
            <w:pPr>
              <w:pStyle w:val="Tab1MiddleColGras"/>
              <w:rPr>
                <w:lang w:val="fr-FR"/>
              </w:rPr>
            </w:pPr>
            <w:r>
              <w:rPr>
                <w:lang w:val="fr-FR"/>
              </w:rPr>
              <w:t>1 562 766,97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5EAC26D" w14:textId="77777777">
            <w:pPr>
              <w:pStyle w:val="Tab1LastColGras"/>
              <w:rPr>
                <w:lang w:val="fr-FR"/>
              </w:rPr>
            </w:pPr>
            <w:r>
              <w:rPr>
                <w:lang w:val="fr-FR"/>
              </w:rPr>
              <w:t>0,45</w:t>
            </w:r>
          </w:p>
        </w:tc>
      </w:tr>
      <w:tr w14:paraId="37EB903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2658F95" w14:textId="77777777">
            <w:pPr>
              <w:pStyle w:val="Tab3FirstColNonGras"/>
              <w:rPr>
                <w:lang w:val="fr-FR"/>
              </w:rPr>
            </w:pPr>
            <w:r>
              <w:rPr>
                <w:lang w:val="fr-FR"/>
              </w:rPr>
              <w:t>BROOKFIELD RENEWABLE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D42313A"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F675FB4" w14:textId="77777777">
            <w:pPr>
              <w:pStyle w:val="Tab3MiddleColNonGras"/>
              <w:rPr>
                <w:lang w:val="fr-FR"/>
              </w:rPr>
            </w:pPr>
            <w:r>
              <w:rPr>
                <w:lang w:val="fr-FR"/>
              </w:rPr>
              <w:t>3 851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BCF49DE" w14:textId="77777777">
            <w:pPr>
              <w:pStyle w:val="Tab3MiddleColNonGras"/>
              <w:rPr>
                <w:lang w:val="fr-FR"/>
              </w:rPr>
            </w:pPr>
            <w:r>
              <w:rPr>
                <w:lang w:val="fr-FR"/>
              </w:rPr>
              <w:t>125 955,83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A519C72" w14:textId="77777777">
            <w:pPr>
              <w:pStyle w:val="Tab3LastColNonGras"/>
              <w:rPr>
                <w:lang w:val="fr-FR"/>
              </w:rPr>
            </w:pPr>
            <w:r>
              <w:rPr>
                <w:lang w:val="fr-FR"/>
              </w:rPr>
              <w:t>0,04</w:t>
            </w:r>
          </w:p>
        </w:tc>
      </w:tr>
      <w:tr w14:paraId="461B14C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309514B" w14:textId="77777777">
            <w:pPr>
              <w:pStyle w:val="Tab3FirstColNonGras"/>
              <w:rPr>
                <w:lang w:val="fr-FR"/>
              </w:rPr>
            </w:pPr>
            <w:r>
              <w:rPr>
                <w:lang w:val="fr-FR"/>
              </w:rPr>
              <w:t>ELIA SYSTEM</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780A1F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CD2FE11" w14:textId="77777777">
            <w:pPr>
              <w:pStyle w:val="Tab3MiddleColNonGras"/>
              <w:rPr>
                <w:lang w:val="fr-FR"/>
              </w:rPr>
            </w:pPr>
            <w:r>
              <w:rPr>
                <w:lang w:val="fr-FR"/>
              </w:rPr>
              <w:t>1 734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5698A98" w14:textId="77777777">
            <w:pPr>
              <w:pStyle w:val="Tab3MiddleColNonGras"/>
              <w:rPr>
                <w:lang w:val="fr-FR"/>
              </w:rPr>
            </w:pPr>
            <w:r>
              <w:rPr>
                <w:lang w:val="fr-FR"/>
              </w:rPr>
              <w:t>198 965,81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CF6E0CF" w14:textId="77777777">
            <w:pPr>
              <w:pStyle w:val="Tab3LastColNonGras"/>
              <w:rPr>
                <w:lang w:val="fr-FR"/>
              </w:rPr>
            </w:pPr>
            <w:r>
              <w:rPr>
                <w:lang w:val="fr-FR"/>
              </w:rPr>
              <w:t>0,06</w:t>
            </w:r>
          </w:p>
        </w:tc>
      </w:tr>
      <w:tr w14:paraId="362EF91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7F8FD3F" w14:textId="77777777">
            <w:pPr>
              <w:pStyle w:val="Tab3FirstColNonGras"/>
              <w:rPr>
                <w:lang w:val="fr-FR"/>
              </w:rPr>
            </w:pPr>
            <w:r>
              <w:rPr>
                <w:lang w:val="fr-FR"/>
              </w:rPr>
              <w:t>LEGRAND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618236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7129470" w14:textId="77777777">
            <w:pPr>
              <w:pStyle w:val="Tab3MiddleColNonGras"/>
              <w:rPr>
                <w:lang w:val="fr-FR"/>
              </w:rPr>
            </w:pPr>
            <w:r>
              <w:rPr>
                <w:lang w:val="fr-FR"/>
              </w:rPr>
              <w:t>2 486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ED54FC0" w14:textId="77777777">
            <w:pPr>
              <w:pStyle w:val="Tab3MiddleColNonGras"/>
              <w:rPr>
                <w:lang w:val="fr-FR"/>
              </w:rPr>
            </w:pPr>
            <w:r>
              <w:rPr>
                <w:lang w:val="fr-FR"/>
              </w:rPr>
              <w:t>331 214,69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8614208" w14:textId="77777777">
            <w:pPr>
              <w:pStyle w:val="Tab3LastColNonGras"/>
              <w:rPr>
                <w:lang w:val="fr-FR"/>
              </w:rPr>
            </w:pPr>
            <w:r>
              <w:rPr>
                <w:lang w:val="fr-FR"/>
              </w:rPr>
              <w:t>0,10</w:t>
            </w:r>
          </w:p>
        </w:tc>
      </w:tr>
      <w:tr w14:paraId="3CED189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3177699" w14:textId="77777777">
            <w:pPr>
              <w:pStyle w:val="Tab3FirstColNonGras"/>
              <w:rPr>
                <w:lang w:val="fr-FR"/>
              </w:rPr>
            </w:pPr>
            <w:r>
              <w:rPr>
                <w:lang w:val="fr-FR"/>
              </w:rPr>
              <w:t>REDEIA CORP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62D93B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D89906D" w14:textId="77777777">
            <w:pPr>
              <w:pStyle w:val="Tab3MiddleColNonGras"/>
              <w:rPr>
                <w:lang w:val="fr-FR"/>
              </w:rPr>
            </w:pPr>
            <w:r>
              <w:rPr>
                <w:lang w:val="fr-FR"/>
              </w:rPr>
              <w:t>12 875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1768CA0" w14:textId="77777777">
            <w:pPr>
              <w:pStyle w:val="Tab3MiddleColNonGras"/>
              <w:rPr>
                <w:lang w:val="fr-FR"/>
              </w:rPr>
            </w:pPr>
            <w:r>
              <w:rPr>
                <w:lang w:val="fr-FR"/>
              </w:rPr>
              <w:t>274 306,74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BFDA699" w14:textId="77777777">
            <w:pPr>
              <w:pStyle w:val="Tab3LastColNonGras"/>
              <w:rPr>
                <w:lang w:val="fr-FR"/>
              </w:rPr>
            </w:pPr>
            <w:r>
              <w:rPr>
                <w:lang w:val="fr-FR"/>
              </w:rPr>
              <w:t>0,08</w:t>
            </w:r>
          </w:p>
        </w:tc>
      </w:tr>
      <w:tr w14:paraId="2631CD7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ED45C79" w14:textId="77777777">
            <w:pPr>
              <w:pStyle w:val="Tab3FirstColNonGras"/>
              <w:rPr>
                <w:lang w:val="fr-FR"/>
              </w:rPr>
            </w:pPr>
            <w:r>
              <w:rPr>
                <w:lang w:val="fr-FR"/>
              </w:rPr>
              <w:t>TERNA-RETE ELETTRICA NAZIONA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3EC7A1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2142F4E" w14:textId="77777777">
            <w:pPr>
              <w:pStyle w:val="Tab3MiddleColNonGras"/>
              <w:rPr>
                <w:lang w:val="fr-FR"/>
              </w:rPr>
            </w:pPr>
            <w:r>
              <w:rPr>
                <w:lang w:val="fr-FR"/>
              </w:rPr>
              <w:t>42 895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B67753D" w14:textId="77777777">
            <w:pPr>
              <w:pStyle w:val="Tab3MiddleColNonGras"/>
              <w:rPr>
                <w:lang w:val="fr-FR"/>
              </w:rPr>
            </w:pPr>
            <w:r>
              <w:rPr>
                <w:lang w:val="fr-FR"/>
              </w:rPr>
              <w:t>439 374,13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B097DF4" w14:textId="77777777">
            <w:pPr>
              <w:pStyle w:val="Tab3LastColNonGras"/>
              <w:rPr>
                <w:lang w:val="fr-FR"/>
              </w:rPr>
            </w:pPr>
            <w:r>
              <w:rPr>
                <w:lang w:val="fr-FR"/>
              </w:rPr>
              <w:t>0,11</w:t>
            </w:r>
          </w:p>
        </w:tc>
      </w:tr>
      <w:tr w14:paraId="4EEF930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FA4F1B3" w14:textId="77777777">
            <w:pPr>
              <w:pStyle w:val="Tab3FirstColNonGras"/>
              <w:rPr>
                <w:lang w:val="fr-FR"/>
              </w:rPr>
            </w:pPr>
            <w:r>
              <w:rPr>
                <w:lang w:val="fr-FR"/>
              </w:rPr>
              <w:t>VERBUND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5D9503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CE664C9" w14:textId="77777777">
            <w:pPr>
              <w:pStyle w:val="Tab3MiddleColNonGras"/>
              <w:rPr>
                <w:lang w:val="fr-FR"/>
              </w:rPr>
            </w:pPr>
            <w:r>
              <w:rPr>
                <w:lang w:val="fr-FR"/>
              </w:rPr>
              <w:t>2 523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DB52598" w14:textId="77777777">
            <w:pPr>
              <w:pStyle w:val="Tab3MiddleColNonGras"/>
              <w:rPr>
                <w:lang w:val="fr-FR"/>
              </w:rPr>
            </w:pPr>
            <w:r>
              <w:rPr>
                <w:lang w:val="fr-FR"/>
              </w:rPr>
              <w:t>192 949,77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970295D" w14:textId="77777777">
            <w:pPr>
              <w:pStyle w:val="Tab3LastColNonGras"/>
              <w:rPr>
                <w:lang w:val="fr-FR"/>
              </w:rPr>
            </w:pPr>
            <w:r>
              <w:rPr>
                <w:lang w:val="fr-FR"/>
              </w:rPr>
              <w:t>0,06</w:t>
            </w:r>
          </w:p>
        </w:tc>
      </w:tr>
      <w:tr w14:paraId="6A68DD0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57E93163" w14:textId="77777777">
            <w:pPr>
              <w:pStyle w:val="Tab1FirstColGras"/>
              <w:rPr>
                <w:lang w:val="fr-FR"/>
              </w:rPr>
            </w:pPr>
            <w:r>
              <w:rPr>
                <w:lang w:val="fr-FR"/>
              </w:rPr>
              <w:t>Emballage et conditionnement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281890B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51755A1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1E0EA789" w14:textId="77777777">
            <w:pPr>
              <w:pStyle w:val="Tab1MiddleColGras"/>
              <w:rPr>
                <w:lang w:val="fr-FR"/>
              </w:rPr>
            </w:pPr>
            <w:r>
              <w:rPr>
                <w:lang w:val="fr-FR"/>
              </w:rPr>
              <w:t>118 582,95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33DF190" w14:textId="77777777">
            <w:pPr>
              <w:pStyle w:val="Tab1LastColGras"/>
              <w:rPr>
                <w:lang w:val="fr-FR"/>
              </w:rPr>
            </w:pPr>
            <w:r>
              <w:rPr>
                <w:lang w:val="fr-FR"/>
              </w:rPr>
              <w:t>0,03</w:t>
            </w:r>
          </w:p>
        </w:tc>
      </w:tr>
      <w:tr w14:paraId="24D080F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3F44CD4" w14:textId="77777777">
            <w:pPr>
              <w:pStyle w:val="Tab3FirstColNonGras"/>
              <w:rPr>
                <w:lang w:val="fr-FR"/>
              </w:rPr>
            </w:pPr>
            <w:r>
              <w:rPr>
                <w:lang w:val="fr-FR"/>
              </w:rPr>
              <w:t>BRAMBLES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E344172"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5BFA9DA" w14:textId="77777777">
            <w:pPr>
              <w:pStyle w:val="Tab3MiddleColNonGras"/>
              <w:rPr>
                <w:lang w:val="fr-FR"/>
              </w:rPr>
            </w:pPr>
            <w:r>
              <w:rPr>
                <w:lang w:val="fr-FR"/>
              </w:rPr>
              <w:t>7 726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4E3D833" w14:textId="77777777">
            <w:pPr>
              <w:pStyle w:val="Tab3MiddleColNonGras"/>
              <w:rPr>
                <w:lang w:val="fr-FR"/>
              </w:rPr>
            </w:pPr>
            <w:r>
              <w:rPr>
                <w:lang w:val="fr-FR"/>
              </w:rPr>
              <w:t>118 582,95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3EA0BB8" w14:textId="77777777">
            <w:pPr>
              <w:pStyle w:val="Tab3LastColNonGras"/>
              <w:rPr>
                <w:lang w:val="fr-FR"/>
              </w:rPr>
            </w:pPr>
            <w:r>
              <w:rPr>
                <w:lang w:val="fr-FR"/>
              </w:rPr>
              <w:t>0,03</w:t>
            </w:r>
          </w:p>
        </w:tc>
      </w:tr>
      <w:tr w14:paraId="0FE846C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6DF04584" w14:textId="77777777">
            <w:pPr>
              <w:pStyle w:val="Tab1FirstColGras"/>
              <w:rPr>
                <w:lang w:val="fr-FR"/>
              </w:rPr>
            </w:pPr>
            <w:r>
              <w:rPr>
                <w:lang w:val="fr-FR"/>
              </w:rPr>
              <w:t>Equipement et services pour l'énergie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35A7C53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004607A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19A16E3D" w14:textId="77777777">
            <w:pPr>
              <w:pStyle w:val="Tab1MiddleColGras"/>
              <w:rPr>
                <w:lang w:val="fr-FR"/>
              </w:rPr>
            </w:pPr>
            <w:r>
              <w:rPr>
                <w:lang w:val="fr-FR"/>
              </w:rPr>
              <w:t>856 927,37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10ECD56" w14:textId="77777777">
            <w:pPr>
              <w:pStyle w:val="Tab1LastColGras"/>
              <w:rPr>
                <w:lang w:val="fr-FR"/>
              </w:rPr>
            </w:pPr>
            <w:r>
              <w:rPr>
                <w:lang w:val="fr-FR"/>
              </w:rPr>
              <w:t>0,25</w:t>
            </w:r>
          </w:p>
        </w:tc>
      </w:tr>
      <w:tr w14:paraId="24C5036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CEFE083" w14:textId="77777777">
            <w:pPr>
              <w:pStyle w:val="Tab3FirstColNonGras"/>
              <w:rPr>
                <w:lang w:val="fr-FR"/>
              </w:rPr>
            </w:pPr>
            <w:r>
              <w:rPr>
                <w:lang w:val="fr-FR"/>
              </w:rPr>
              <w:t>HYDRO ONE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984DF79"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97E15A5" w14:textId="77777777">
            <w:pPr>
              <w:pStyle w:val="Tab3MiddleColNonGras"/>
              <w:rPr>
                <w:lang w:val="fr-FR"/>
              </w:rPr>
            </w:pPr>
            <w:r>
              <w:rPr>
                <w:lang w:val="fr-FR"/>
              </w:rPr>
              <w:t>10 770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5116255" w14:textId="77777777">
            <w:pPr>
              <w:pStyle w:val="Tab3MiddleColNonGras"/>
              <w:rPr>
                <w:lang w:val="fr-FR"/>
              </w:rPr>
            </w:pPr>
            <w:r>
              <w:rPr>
                <w:lang w:val="fr-FR"/>
              </w:rPr>
              <w:t>387 301,90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6F65FC6" w14:textId="77777777">
            <w:pPr>
              <w:pStyle w:val="Tab3LastColNonGras"/>
              <w:rPr>
                <w:lang w:val="fr-FR"/>
              </w:rPr>
            </w:pPr>
            <w:r>
              <w:rPr>
                <w:lang w:val="fr-FR"/>
              </w:rPr>
              <w:t>0,11</w:t>
            </w:r>
          </w:p>
        </w:tc>
      </w:tr>
      <w:tr w14:paraId="46B3E85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351F488D" w14:textId="77777777">
            <w:pPr>
              <w:pStyle w:val="Tab3FirstColNonGras"/>
              <w:rPr>
                <w:lang w:val="en-US"/>
              </w:rPr>
            </w:pPr>
            <w:r w:rsidRPr="00D61EB0">
              <w:rPr>
                <w:lang w:val="en-US"/>
              </w:rPr>
              <w:t>VESTAS WIND SYSTEMS A/S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C2F186D" w14:textId="77777777">
            <w:pPr>
              <w:pStyle w:val="Tab1MiddleColNonGrasCentre"/>
              <w:rPr>
                <w:lang w:val="fr-FR"/>
              </w:rPr>
            </w:pPr>
            <w:r>
              <w:rPr>
                <w:lang w:val="fr-FR"/>
              </w:rPr>
              <w:t>DKK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5C8C0DA" w14:textId="77777777">
            <w:pPr>
              <w:pStyle w:val="Tab3MiddleColNonGras"/>
              <w:rPr>
                <w:lang w:val="fr-FR"/>
              </w:rPr>
            </w:pPr>
            <w:r>
              <w:rPr>
                <w:lang w:val="fr-FR"/>
              </w:rPr>
              <w:t>31 413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19B27F7" w14:textId="77777777">
            <w:pPr>
              <w:pStyle w:val="Tab3MiddleColNonGras"/>
              <w:rPr>
                <w:lang w:val="fr-FR"/>
              </w:rPr>
            </w:pPr>
            <w:r>
              <w:rPr>
                <w:lang w:val="fr-FR"/>
              </w:rPr>
              <w:t>469 625,47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858EE1F" w14:textId="77777777">
            <w:pPr>
              <w:pStyle w:val="Tab3LastColNonGras"/>
              <w:rPr>
                <w:lang w:val="fr-FR"/>
              </w:rPr>
            </w:pPr>
            <w:r>
              <w:rPr>
                <w:lang w:val="fr-FR"/>
              </w:rPr>
              <w:t>0,14</w:t>
            </w:r>
          </w:p>
        </w:tc>
      </w:tr>
      <w:tr w14:paraId="62637A4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7EE61990" w14:textId="77777777">
            <w:pPr>
              <w:pStyle w:val="Tab1FirstColGras"/>
              <w:rPr>
                <w:lang w:val="fr-FR"/>
              </w:rPr>
            </w:pPr>
            <w:r>
              <w:rPr>
                <w:lang w:val="fr-FR"/>
              </w:rPr>
              <w:t>Equipements de communication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5C6FAB1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3035BE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72E9C937" w14:textId="77777777">
            <w:pPr>
              <w:pStyle w:val="Tab1MiddleColGras"/>
              <w:rPr>
                <w:lang w:val="fr-FR"/>
              </w:rPr>
            </w:pPr>
            <w:r>
              <w:rPr>
                <w:lang w:val="fr-FR"/>
              </w:rPr>
              <w:t>8 158 994,73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DD93F71" w14:textId="77777777">
            <w:pPr>
              <w:pStyle w:val="Tab1LastColGras"/>
              <w:rPr>
                <w:lang w:val="fr-FR"/>
              </w:rPr>
            </w:pPr>
            <w:r>
              <w:rPr>
                <w:lang w:val="fr-FR"/>
              </w:rPr>
              <w:t>2,34</w:t>
            </w:r>
          </w:p>
        </w:tc>
      </w:tr>
      <w:tr w14:paraId="79060B2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D57311E" w14:textId="77777777">
            <w:pPr>
              <w:pStyle w:val="Tab3FirstColNonGras"/>
              <w:rPr>
                <w:lang w:val="fr-FR"/>
              </w:rPr>
            </w:pPr>
            <w:r>
              <w:rPr>
                <w:lang w:val="fr-FR"/>
              </w:rPr>
              <w:t>ARISTA NETWORKS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504034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5FE50D2" w14:textId="77777777">
            <w:pPr>
              <w:pStyle w:val="Tab3MiddleColNonGras"/>
              <w:rPr>
                <w:lang w:val="fr-FR"/>
              </w:rPr>
            </w:pPr>
            <w:r>
              <w:rPr>
                <w:lang w:val="fr-FR"/>
              </w:rPr>
              <w:t>11 898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86F7190" w14:textId="77777777">
            <w:pPr>
              <w:pStyle w:val="Tab3MiddleColNonGras"/>
              <w:rPr>
                <w:lang w:val="fr-FR"/>
              </w:rPr>
            </w:pPr>
            <w:r>
              <w:rPr>
                <w:lang w:val="fr-FR"/>
              </w:rPr>
              <w:t>1 217 284,38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6648319" w14:textId="77777777">
            <w:pPr>
              <w:pStyle w:val="Tab3LastColNonGras"/>
              <w:rPr>
                <w:lang w:val="fr-FR"/>
              </w:rPr>
            </w:pPr>
            <w:r>
              <w:rPr>
                <w:lang w:val="fr-FR"/>
              </w:rPr>
              <w:t>0,35</w:t>
            </w:r>
          </w:p>
        </w:tc>
      </w:tr>
      <w:tr w14:paraId="731A120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7E5E1E7" w14:textId="77777777">
            <w:pPr>
              <w:pStyle w:val="Tab3FirstColNonGras"/>
              <w:rPr>
                <w:lang w:val="fr-FR"/>
              </w:rPr>
            </w:pPr>
            <w:r>
              <w:rPr>
                <w:lang w:val="fr-FR"/>
              </w:rPr>
              <w:t>CDW CORP/DE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91850E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4E59799" w14:textId="77777777">
            <w:pPr>
              <w:pStyle w:val="Tab3MiddleColNonGras"/>
              <w:rPr>
                <w:lang w:val="fr-FR"/>
              </w:rPr>
            </w:pPr>
            <w:r>
              <w:rPr>
                <w:lang w:val="fr-FR"/>
              </w:rPr>
              <w:t>1 282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6F599F4" w14:textId="77777777">
            <w:pPr>
              <w:pStyle w:val="Tab3MiddleColNonGras"/>
              <w:rPr>
                <w:lang w:val="fr-FR"/>
              </w:rPr>
            </w:pPr>
            <w:r>
              <w:rPr>
                <w:lang w:val="fr-FR"/>
              </w:rPr>
              <w:t>228 952,38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7200986" w14:textId="77777777">
            <w:pPr>
              <w:pStyle w:val="Tab3LastColNonGras"/>
              <w:rPr>
                <w:lang w:val="fr-FR"/>
              </w:rPr>
            </w:pPr>
            <w:r>
              <w:rPr>
                <w:lang w:val="fr-FR"/>
              </w:rPr>
              <w:t>0,07</w:t>
            </w:r>
          </w:p>
        </w:tc>
      </w:tr>
      <w:tr w14:paraId="10BF526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A3260CC" w14:textId="77777777">
            <w:pPr>
              <w:pStyle w:val="Tab3FirstColNonGras"/>
              <w:rPr>
                <w:lang w:val="fr-FR"/>
              </w:rPr>
            </w:pPr>
            <w:r>
              <w:rPr>
                <w:lang w:val="fr-FR"/>
              </w:rPr>
              <w:t>CISCO SYSTEMS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9B84C4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E51FA6E" w14:textId="77777777">
            <w:pPr>
              <w:pStyle w:val="Tab3MiddleColNonGras"/>
              <w:rPr>
                <w:lang w:val="fr-FR"/>
              </w:rPr>
            </w:pPr>
            <w:r>
              <w:rPr>
                <w:lang w:val="fr-FR"/>
              </w:rPr>
              <w:t>46 362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A013D3B" w14:textId="77777777">
            <w:pPr>
              <w:pStyle w:val="Tab3MiddleColNonGras"/>
              <w:rPr>
                <w:lang w:val="fr-FR"/>
              </w:rPr>
            </w:pPr>
            <w:r>
              <w:rPr>
                <w:lang w:val="fr-FR"/>
              </w:rPr>
              <w:t>3 216 595,56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C96D03C" w14:textId="77777777">
            <w:pPr>
              <w:pStyle w:val="Tab3LastColNonGras"/>
              <w:rPr>
                <w:lang w:val="fr-FR"/>
              </w:rPr>
            </w:pPr>
            <w:r>
              <w:rPr>
                <w:lang w:val="fr-FR"/>
              </w:rPr>
              <w:t>0,91</w:t>
            </w:r>
          </w:p>
        </w:tc>
      </w:tr>
      <w:tr w14:paraId="7E772B7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6CA2E7D" w14:textId="77777777">
            <w:pPr>
              <w:pStyle w:val="Tab3FirstColNonGras"/>
              <w:rPr>
                <w:lang w:val="fr-FR"/>
              </w:rPr>
            </w:pPr>
            <w:r>
              <w:rPr>
                <w:lang w:val="fr-FR"/>
              </w:rPr>
              <w:t>F5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56633C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CDDF067" w14:textId="77777777">
            <w:pPr>
              <w:pStyle w:val="Tab3MiddleColNonGras"/>
              <w:rPr>
                <w:lang w:val="fr-FR"/>
              </w:rPr>
            </w:pPr>
            <w:r>
              <w:rPr>
                <w:lang w:val="fr-FR"/>
              </w:rPr>
              <w:t>1 495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95C6A5A" w14:textId="77777777">
            <w:pPr>
              <w:pStyle w:val="Tab3MiddleColNonGras"/>
              <w:rPr>
                <w:lang w:val="fr-FR"/>
              </w:rPr>
            </w:pPr>
            <w:r>
              <w:rPr>
                <w:lang w:val="fr-FR"/>
              </w:rPr>
              <w:t>440 008,40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968A463" w14:textId="77777777">
            <w:pPr>
              <w:pStyle w:val="Tab3LastColNonGras"/>
              <w:rPr>
                <w:lang w:val="fr-FR"/>
              </w:rPr>
            </w:pPr>
            <w:r>
              <w:rPr>
                <w:lang w:val="fr-FR"/>
              </w:rPr>
              <w:t>0,13</w:t>
            </w:r>
          </w:p>
        </w:tc>
      </w:tr>
      <w:tr w14:paraId="13DEEC8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CCAD18A" w14:textId="77777777">
            <w:pPr>
              <w:pStyle w:val="Tab3FirstColNonGras"/>
              <w:rPr>
                <w:lang w:val="fr-FR"/>
              </w:rPr>
            </w:pPr>
            <w:r>
              <w:rPr>
                <w:lang w:val="fr-FR"/>
              </w:rPr>
              <w:t>HEWLETT PACKARD ENTERPRISE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BD5713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6658C98" w14:textId="77777777">
            <w:pPr>
              <w:pStyle w:val="Tab3MiddleColNonGras"/>
              <w:rPr>
                <w:lang w:val="fr-FR"/>
              </w:rPr>
            </w:pPr>
            <w:r>
              <w:rPr>
                <w:lang w:val="fr-FR"/>
              </w:rPr>
              <w:t>3 227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0CF8AD9" w14:textId="77777777">
            <w:pPr>
              <w:pStyle w:val="Tab3MiddleColNonGras"/>
              <w:rPr>
                <w:lang w:val="fr-FR"/>
              </w:rPr>
            </w:pPr>
            <w:r>
              <w:rPr>
                <w:lang w:val="fr-FR"/>
              </w:rPr>
              <w:t>65 992,15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50E6254" w14:textId="77777777">
            <w:pPr>
              <w:pStyle w:val="Tab3LastColNonGras"/>
              <w:rPr>
                <w:lang w:val="fr-FR"/>
              </w:rPr>
            </w:pPr>
            <w:r>
              <w:rPr>
                <w:lang w:val="fr-FR"/>
              </w:rPr>
              <w:t>0,02</w:t>
            </w:r>
          </w:p>
        </w:tc>
      </w:tr>
      <w:tr w14:paraId="60093DA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A250A33" w14:textId="77777777">
            <w:pPr>
              <w:pStyle w:val="Tab3FirstColNonGras"/>
              <w:rPr>
                <w:lang w:val="fr-FR"/>
              </w:rPr>
            </w:pPr>
            <w:r>
              <w:rPr>
                <w:lang w:val="fr-FR"/>
              </w:rPr>
              <w:t>JUNIPER NETWORKS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A053CD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5FBD6AE" w14:textId="77777777">
            <w:pPr>
              <w:pStyle w:val="Tab3MiddleColNonGras"/>
              <w:rPr>
                <w:lang w:val="fr-FR"/>
              </w:rPr>
            </w:pPr>
            <w:r>
              <w:rPr>
                <w:lang w:val="fr-FR"/>
              </w:rPr>
              <w:t>3 357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9678B21" w14:textId="77777777">
            <w:pPr>
              <w:pStyle w:val="Tab3MiddleColNonGras"/>
              <w:rPr>
                <w:lang w:val="fr-FR"/>
              </w:rPr>
            </w:pPr>
            <w:r>
              <w:rPr>
                <w:lang w:val="fr-FR"/>
              </w:rPr>
              <w:t>134 045,01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4515A7D" w14:textId="77777777">
            <w:pPr>
              <w:pStyle w:val="Tab3LastColNonGras"/>
              <w:rPr>
                <w:lang w:val="fr-FR"/>
              </w:rPr>
            </w:pPr>
            <w:r>
              <w:rPr>
                <w:lang w:val="fr-FR"/>
              </w:rPr>
              <w:t>0,04</w:t>
            </w:r>
          </w:p>
        </w:tc>
      </w:tr>
      <w:tr w14:paraId="107EE9E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D8F4479" w14:textId="77777777">
            <w:pPr>
              <w:pStyle w:val="Tab3FirstColNonGras"/>
              <w:rPr>
                <w:lang w:val="fr-FR"/>
              </w:rPr>
            </w:pPr>
            <w:r>
              <w:rPr>
                <w:lang w:val="fr-FR"/>
              </w:rPr>
              <w:t>MOTOROLA SOLUTIONS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C42CC1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99D85E6" w14:textId="77777777">
            <w:pPr>
              <w:pStyle w:val="Tab3MiddleColNonGras"/>
              <w:rPr>
                <w:lang w:val="fr-FR"/>
              </w:rPr>
            </w:pPr>
            <w:r>
              <w:rPr>
                <w:lang w:val="fr-FR"/>
              </w:rPr>
              <w:t>1 899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B268AB7" w14:textId="77777777">
            <w:pPr>
              <w:pStyle w:val="Tab3MiddleColNonGras"/>
              <w:rPr>
                <w:lang w:val="fr-FR"/>
              </w:rPr>
            </w:pPr>
            <w:r>
              <w:rPr>
                <w:lang w:val="fr-FR"/>
              </w:rPr>
              <w:t>798 453,54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0A4773C" w14:textId="77777777">
            <w:pPr>
              <w:pStyle w:val="Tab3LastColNonGras"/>
              <w:rPr>
                <w:lang w:val="fr-FR"/>
              </w:rPr>
            </w:pPr>
            <w:r>
              <w:rPr>
                <w:lang w:val="fr-FR"/>
              </w:rPr>
              <w:t>0,23</w:t>
            </w:r>
          </w:p>
        </w:tc>
      </w:tr>
      <w:tr w14:paraId="1143465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FDF0F3D" w14:textId="77777777">
            <w:pPr>
              <w:pStyle w:val="Tab3FirstColNonGras"/>
              <w:rPr>
                <w:lang w:val="fr-FR"/>
              </w:rPr>
            </w:pPr>
            <w:r>
              <w:rPr>
                <w:lang w:val="fr-FR"/>
              </w:rPr>
              <w:t>NOKIA OYJ</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B58815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D66828D" w14:textId="77777777">
            <w:pPr>
              <w:pStyle w:val="Tab3MiddleColNonGras"/>
              <w:rPr>
                <w:lang w:val="fr-FR"/>
              </w:rPr>
            </w:pPr>
            <w:r>
              <w:rPr>
                <w:lang w:val="fr-FR"/>
              </w:rPr>
              <w:t>12 291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0AB51EA" w14:textId="77777777">
            <w:pPr>
              <w:pStyle w:val="Tab3MiddleColNonGras"/>
              <w:rPr>
                <w:lang w:val="fr-FR"/>
              </w:rPr>
            </w:pPr>
            <w:r>
              <w:rPr>
                <w:lang w:val="fr-FR"/>
              </w:rPr>
              <w:t>63 568,85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77226B2" w14:textId="77777777">
            <w:pPr>
              <w:pStyle w:val="Tab3LastColNonGras"/>
              <w:rPr>
                <w:lang w:val="fr-FR"/>
              </w:rPr>
            </w:pPr>
            <w:r>
              <w:rPr>
                <w:lang w:val="fr-FR"/>
              </w:rPr>
              <w:t>0,02</w:t>
            </w:r>
          </w:p>
        </w:tc>
      </w:tr>
      <w:tr w14:paraId="64C23BA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CEE62FA" w14:textId="77777777">
            <w:pPr>
              <w:pStyle w:val="Tab3FirstColNonGras"/>
              <w:rPr>
                <w:lang w:val="fr-FR"/>
              </w:rPr>
            </w:pPr>
            <w:r>
              <w:rPr>
                <w:lang w:val="fr-FR"/>
              </w:rPr>
              <w:t>QUALCOMM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057F5D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97E73CD" w14:textId="77777777">
            <w:pPr>
              <w:pStyle w:val="Tab3MiddleColNonGras"/>
              <w:rPr>
                <w:lang w:val="fr-FR"/>
              </w:rPr>
            </w:pPr>
            <w:r>
              <w:rPr>
                <w:lang w:val="fr-FR"/>
              </w:rPr>
              <w:t>12 521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32D3246" w14:textId="77777777">
            <w:pPr>
              <w:pStyle w:val="Tab3MiddleColNonGras"/>
              <w:rPr>
                <w:lang w:val="fr-FR"/>
              </w:rPr>
            </w:pPr>
            <w:r>
              <w:rPr>
                <w:lang w:val="fr-FR"/>
              </w:rPr>
              <w:t>1 994 094,46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7EE871E" w14:textId="77777777">
            <w:pPr>
              <w:pStyle w:val="Tab3LastColNonGras"/>
              <w:rPr>
                <w:lang w:val="fr-FR"/>
              </w:rPr>
            </w:pPr>
            <w:r>
              <w:rPr>
                <w:lang w:val="fr-FR"/>
              </w:rPr>
              <w:t>0,57</w:t>
            </w:r>
          </w:p>
        </w:tc>
      </w:tr>
      <w:tr w14:paraId="28ABC31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0A774086" w14:textId="77777777">
            <w:pPr>
              <w:pStyle w:val="Tab1FirstColGras"/>
              <w:rPr>
                <w:lang w:val="fr-FR"/>
              </w:rPr>
            </w:pPr>
            <w:r>
              <w:rPr>
                <w:lang w:val="fr-FR"/>
              </w:rPr>
              <w:t>Equipements électriques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1BF319C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583039C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4D26B096" w14:textId="77777777">
            <w:pPr>
              <w:pStyle w:val="Tab1MiddleColGras"/>
              <w:rPr>
                <w:lang w:val="fr-FR"/>
              </w:rPr>
            </w:pPr>
            <w:r>
              <w:rPr>
                <w:lang w:val="fr-FR"/>
              </w:rPr>
              <w:t>5 603 345,27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0514408" w14:textId="77777777">
            <w:pPr>
              <w:pStyle w:val="Tab1LastColGras"/>
              <w:rPr>
                <w:lang w:val="fr-FR"/>
              </w:rPr>
            </w:pPr>
            <w:r>
              <w:rPr>
                <w:lang w:val="fr-FR"/>
              </w:rPr>
              <w:t>1,61</w:t>
            </w:r>
          </w:p>
        </w:tc>
      </w:tr>
      <w:tr w14:paraId="5E38B99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0674D0C" w14:textId="77777777">
            <w:pPr>
              <w:pStyle w:val="Tab3FirstColNonGras"/>
              <w:rPr>
                <w:lang w:val="fr-FR"/>
              </w:rPr>
            </w:pPr>
            <w:r>
              <w:rPr>
                <w:lang w:val="fr-FR"/>
              </w:rPr>
              <w:t>ABB LTD-REG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603B872"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7C7ED9F" w14:textId="77777777">
            <w:pPr>
              <w:pStyle w:val="Tab3MiddleColNonGras"/>
              <w:rPr>
                <w:lang w:val="fr-FR"/>
              </w:rPr>
            </w:pPr>
            <w:r>
              <w:rPr>
                <w:lang w:val="fr-FR"/>
              </w:rPr>
              <w:t>14 500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BF39826" w14:textId="77777777">
            <w:pPr>
              <w:pStyle w:val="Tab3MiddleColNonGras"/>
              <w:rPr>
                <w:lang w:val="fr-FR"/>
              </w:rPr>
            </w:pPr>
            <w:r>
              <w:rPr>
                <w:lang w:val="fr-FR"/>
              </w:rPr>
              <w:t>861 834,68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B20A3CC" w14:textId="77777777">
            <w:pPr>
              <w:pStyle w:val="Tab3LastColNonGras"/>
              <w:rPr>
                <w:lang w:val="fr-FR"/>
              </w:rPr>
            </w:pPr>
            <w:r>
              <w:rPr>
                <w:lang w:val="fr-FR"/>
              </w:rPr>
              <w:t>0,25</w:t>
            </w:r>
          </w:p>
        </w:tc>
      </w:tr>
      <w:tr w14:paraId="2AE6134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1342EF8" w14:textId="77777777">
            <w:pPr>
              <w:pStyle w:val="Tab3FirstColNonGras"/>
              <w:rPr>
                <w:lang w:val="fr-FR"/>
              </w:rPr>
            </w:pPr>
            <w:r>
              <w:rPr>
                <w:lang w:val="fr-FR"/>
              </w:rPr>
              <w:t>ALSTOM</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9FAAF8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12C4978" w14:textId="77777777">
            <w:pPr>
              <w:pStyle w:val="Tab3MiddleColNonGras"/>
              <w:rPr>
                <w:lang w:val="fr-FR"/>
              </w:rPr>
            </w:pPr>
            <w:r>
              <w:rPr>
                <w:lang w:val="fr-FR"/>
              </w:rPr>
              <w:t>9 416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B0B7DB9" w14:textId="77777777">
            <w:pPr>
              <w:pStyle w:val="Tab3MiddleColNonGras"/>
              <w:rPr>
                <w:lang w:val="fr-FR"/>
              </w:rPr>
            </w:pPr>
            <w:r>
              <w:rPr>
                <w:lang w:val="fr-FR"/>
              </w:rPr>
              <w:t>218 848,84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2E3093D" w14:textId="77777777">
            <w:pPr>
              <w:pStyle w:val="Tab3LastColNonGras"/>
              <w:rPr>
                <w:lang w:val="fr-FR"/>
              </w:rPr>
            </w:pPr>
            <w:r>
              <w:rPr>
                <w:lang w:val="fr-FR"/>
              </w:rPr>
              <w:t>0,06</w:t>
            </w:r>
          </w:p>
        </w:tc>
      </w:tr>
      <w:tr w14:paraId="7F1D70D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77E1B0D" w14:textId="77777777">
            <w:pPr>
              <w:pStyle w:val="Tab3FirstColNonGras"/>
              <w:rPr>
                <w:lang w:val="fr-FR"/>
              </w:rPr>
            </w:pPr>
            <w:r>
              <w:rPr>
                <w:lang w:val="fr-FR"/>
              </w:rPr>
              <w:t>AMETEK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BE0AB8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520F971" w14:textId="77777777">
            <w:pPr>
              <w:pStyle w:val="Tab3MiddleColNonGras"/>
              <w:rPr>
                <w:lang w:val="fr-FR"/>
              </w:rPr>
            </w:pPr>
            <w:r>
              <w:rPr>
                <w:lang w:val="fr-FR"/>
              </w:rPr>
              <w:t>2 458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D0E1BA6" w14:textId="77777777">
            <w:pPr>
              <w:pStyle w:val="Tab3MiddleColNonGras"/>
              <w:rPr>
                <w:lang w:val="fr-FR"/>
              </w:rPr>
            </w:pPr>
            <w:r>
              <w:rPr>
                <w:lang w:val="fr-FR"/>
              </w:rPr>
              <w:t>444 799,68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147809B" w14:textId="77777777">
            <w:pPr>
              <w:pStyle w:val="Tab3LastColNonGras"/>
              <w:rPr>
                <w:lang w:val="fr-FR"/>
              </w:rPr>
            </w:pPr>
            <w:r>
              <w:rPr>
                <w:lang w:val="fr-FR"/>
              </w:rPr>
              <w:t>0,13</w:t>
            </w:r>
          </w:p>
        </w:tc>
      </w:tr>
      <w:tr w14:paraId="7146AE9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77F6464" w14:textId="77777777">
            <w:pPr>
              <w:pStyle w:val="Tab3FirstColNonGras"/>
              <w:rPr>
                <w:lang w:val="fr-FR"/>
              </w:rPr>
            </w:pPr>
            <w:r>
              <w:rPr>
                <w:lang w:val="fr-FR"/>
              </w:rPr>
              <w:t>HUBBELL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D3B1A4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F6C20B6" w14:textId="77777777">
            <w:pPr>
              <w:pStyle w:val="Tab3MiddleColNonGras"/>
              <w:rPr>
                <w:lang w:val="fr-FR"/>
              </w:rPr>
            </w:pPr>
            <w:r>
              <w:rPr>
                <w:lang w:val="fr-FR"/>
              </w:rPr>
              <w:t>592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22FB6D1" w14:textId="77777777">
            <w:pPr>
              <w:pStyle w:val="Tab3MiddleColNonGras"/>
              <w:rPr>
                <w:lang w:val="fr-FR"/>
              </w:rPr>
            </w:pPr>
            <w:r>
              <w:rPr>
                <w:lang w:val="fr-FR"/>
              </w:rPr>
              <w:t>241 778,72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B853B73" w14:textId="77777777">
            <w:pPr>
              <w:pStyle w:val="Tab3LastColNonGras"/>
              <w:rPr>
                <w:lang w:val="fr-FR"/>
              </w:rPr>
            </w:pPr>
            <w:r>
              <w:rPr>
                <w:lang w:val="fr-FR"/>
              </w:rPr>
              <w:t>0,07</w:t>
            </w:r>
          </w:p>
        </w:tc>
      </w:tr>
      <w:tr w14:paraId="61FAAC5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FA42AB9" w14:textId="77777777">
            <w:pPr>
              <w:pStyle w:val="Tab3FirstColNonGras"/>
              <w:rPr>
                <w:lang w:val="fr-FR"/>
              </w:rPr>
            </w:pPr>
            <w:r>
              <w:rPr>
                <w:lang w:val="fr-FR"/>
              </w:rPr>
              <w:t>PRYSMIAN SPA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807D5A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F9BFDFE" w14:textId="77777777">
            <w:pPr>
              <w:pStyle w:val="Tab3MiddleColNonGras"/>
              <w:rPr>
                <w:lang w:val="fr-FR"/>
              </w:rPr>
            </w:pPr>
            <w:r>
              <w:rPr>
                <w:lang w:val="fr-FR"/>
              </w:rPr>
              <w:t>820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E6BFE6C" w14:textId="77777777">
            <w:pPr>
              <w:pStyle w:val="Tab3MiddleColNonGras"/>
              <w:rPr>
                <w:lang w:val="fr-FR"/>
              </w:rPr>
            </w:pPr>
            <w:r>
              <w:rPr>
                <w:lang w:val="fr-FR"/>
              </w:rPr>
              <w:t>57 791,92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00C4688" w14:textId="77777777">
            <w:pPr>
              <w:pStyle w:val="Tab3LastColNonGras"/>
              <w:rPr>
                <w:lang w:val="fr-FR"/>
              </w:rPr>
            </w:pPr>
            <w:r>
              <w:rPr>
                <w:lang w:val="fr-FR"/>
              </w:rPr>
              <w:t>0,02</w:t>
            </w:r>
          </w:p>
        </w:tc>
      </w:tr>
    </w:tbl>
    <w:p w:rsidR="001F4AEE" w14:paraId="68B18241" w14:textId="77777777">
      <w:pPr>
        <w:sectPr>
          <w:headerReference w:type="default" r:id="rId32"/>
          <w:footerReference w:type="default" r:id="rId33"/>
          <w:pgSz w:w="11900" w:h="16840"/>
          <w:pgMar w:top="2154" w:right="1134" w:bottom="1134" w:left="1134" w:header="400" w:footer="400" w:gutter="0"/>
          <w:cols w:space="720"/>
        </w:sectPr>
      </w:pPr>
    </w:p>
    <w:p w:rsidR="001F4AEE" w14:paraId="7CDEE7DA" w14:textId="77777777">
      <w:pPr>
        <w:spacing w:line="30" w:lineRule="exact"/>
        <w:rPr>
          <w:sz w:val="3"/>
        </w:rPr>
      </w:pPr>
    </w:p>
    <w:p w:rsidR="001F4AEE" w14:paraId="0E719A26" w14:textId="77777777">
      <w:pPr>
        <w:pStyle w:val="TechnicalBookmark"/>
        <w:rPr>
          <w:lang w:val="fr-FR"/>
        </w:rPr>
      </w:pPr>
      <w:r>
        <w:rPr>
          <w:lang w:val="fr-FR"/>
        </w:rPr>
        <w:fldChar w:fldCharType="begin"/>
      </w:r>
      <w:r>
        <w:rPr>
          <w:lang w:val="fr-FR"/>
        </w:rPr>
        <w:instrText xml:space="preserve"> SET 7885844AC45116E7DD3186AB1C3B4909 "" </w:instrText>
      </w:r>
      <w:r>
        <w:rPr>
          <w:lang w:val="fr-FR"/>
        </w:rPr>
        <w:fldChar w:fldCharType="separate"/>
      </w:r>
      <w:bookmarkStart w:id="88" w:name="7885844AC45116E7DD3186AB1C3B4909"/>
      <w:bookmarkEnd w:id="88"/>
      <w:r>
        <w:rPr>
          <w:lang w:val="fr-FR"/>
        </w:rPr>
        <w:fldChar w:fldCharType="end"/>
      </w:r>
    </w:p>
    <w:p w:rsidR="001F4AEE" w14:paraId="37335256" w14:textId="77777777">
      <w:pPr>
        <w:pStyle w:val="H2"/>
        <w:rPr>
          <w:lang w:val="fr-FR"/>
        </w:rPr>
      </w:pPr>
      <w:r>
        <w:rPr>
          <w:lang w:val="fr-FR"/>
        </w:rPr>
        <w:t xml:space="preserve">Inventaire des éléments de bilan </w:t>
      </w:r>
    </w:p>
    <w:p w:rsidR="001F4AEE" w14:paraId="46EA7F5D" w14:textId="77777777">
      <w:pPr>
        <w:pStyle w:val="NoRefToc"/>
        <w:rPr>
          <w:lang w:val="fr-FR"/>
        </w:rPr>
      </w:pPr>
    </w:p>
    <w:p w:rsidR="001F4AEE" w14:paraId="2D24EF9F" w14:textId="77777777">
      <w:pPr>
        <w:pStyle w:val="TechnicalBookmark"/>
        <w:rPr>
          <w:lang w:val="fr-FR"/>
        </w:rPr>
      </w:pPr>
      <w:r>
        <w:rPr>
          <w:lang w:val="fr-FR"/>
        </w:rPr>
        <w:fldChar w:fldCharType="begin"/>
      </w:r>
      <w:r>
        <w:rPr>
          <w:lang w:val="fr-FR"/>
        </w:rPr>
        <w:instrText xml:space="preserve"> SET 2E574D91F653B527E2B4E98ABF1A1531 "" </w:instrText>
      </w:r>
      <w:r>
        <w:rPr>
          <w:lang w:val="fr-FR"/>
        </w:rPr>
        <w:fldChar w:fldCharType="separate"/>
      </w:r>
      <w:bookmarkStart w:id="89" w:name="2E574D91F653B527E2B4E98ABF1A1531"/>
      <w:bookmarkEnd w:id="89"/>
      <w:r>
        <w:rPr>
          <w:lang w:val="fr-FR"/>
        </w:rPr>
        <w:fldChar w:fldCharType="end"/>
      </w:r>
    </w:p>
    <w:p w:rsidR="001F4AEE" w14:paraId="7D09829F"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349E3EC5"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70E5021F"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1C8F62EA"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43D26407" w14:textId="77777777">
            <w:pPr>
              <w:pStyle w:val="EnteteTabMiddleColBordure"/>
              <w:spacing w:line="184" w:lineRule="exact"/>
              <w:rPr>
                <w:lang w:val="fr-FR"/>
              </w:rPr>
            </w:pPr>
            <w:r>
              <w:rPr>
                <w:lang w:val="fr-FR"/>
              </w:rPr>
              <w:t>Quantité ou</w:t>
            </w:r>
          </w:p>
          <w:p w:rsidR="001F4AEE" w14:paraId="79544325"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30A0E425"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275D231A" w14:textId="77777777">
            <w:pPr>
              <w:pStyle w:val="EnteteTabLastColBordure"/>
              <w:spacing w:line="184" w:lineRule="exact"/>
              <w:rPr>
                <w:lang w:val="fr-FR"/>
              </w:rPr>
            </w:pPr>
            <w:r>
              <w:rPr>
                <w:lang w:val="fr-FR"/>
              </w:rPr>
              <w:t>% Actif</w:t>
            </w:r>
          </w:p>
          <w:p w:rsidR="001F4AEE" w14:paraId="3B18771C" w14:textId="77777777">
            <w:pPr>
              <w:pStyle w:val="EnteteTabLastColBordure"/>
              <w:spacing w:line="184" w:lineRule="exact"/>
              <w:rPr>
                <w:lang w:val="fr-FR"/>
              </w:rPr>
            </w:pPr>
            <w:r>
              <w:rPr>
                <w:lang w:val="fr-FR"/>
              </w:rPr>
              <w:t>Net</w:t>
            </w:r>
          </w:p>
        </w:tc>
      </w:tr>
      <w:tr w14:paraId="4E9ED68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5DADDFD" w14:textId="77777777">
            <w:pPr>
              <w:pStyle w:val="Tab3FirstColNonGras"/>
              <w:rPr>
                <w:lang w:val="fr-FR"/>
              </w:rPr>
            </w:pPr>
            <w:r>
              <w:rPr>
                <w:lang w:val="fr-FR"/>
              </w:rPr>
              <w:t>ROCKWELL AUTOMATION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883054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56D805B" w14:textId="77777777">
            <w:pPr>
              <w:pStyle w:val="Tab3MiddleColNonGras"/>
              <w:rPr>
                <w:lang w:val="fr-FR"/>
              </w:rPr>
            </w:pPr>
            <w:r>
              <w:rPr>
                <w:lang w:val="fr-FR"/>
              </w:rPr>
              <w:t>1 239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4E1F28F" w14:textId="77777777">
            <w:pPr>
              <w:pStyle w:val="Tab3MiddleColNonGras"/>
              <w:rPr>
                <w:lang w:val="fr-FR"/>
              </w:rPr>
            </w:pPr>
            <w:r>
              <w:rPr>
                <w:lang w:val="fr-FR"/>
              </w:rPr>
              <w:t>411 558,63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B232713" w14:textId="77777777">
            <w:pPr>
              <w:pStyle w:val="Tab3LastColNonGras"/>
              <w:rPr>
                <w:lang w:val="fr-FR"/>
              </w:rPr>
            </w:pPr>
            <w:r>
              <w:rPr>
                <w:lang w:val="fr-FR"/>
              </w:rPr>
              <w:t>0,12</w:t>
            </w:r>
          </w:p>
        </w:tc>
      </w:tr>
      <w:tr w14:paraId="6171E0D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E99A01C" w14:textId="77777777">
            <w:pPr>
              <w:pStyle w:val="Tab3FirstColNonGras"/>
              <w:rPr>
                <w:lang w:val="fr-FR"/>
              </w:rPr>
            </w:pPr>
            <w:r>
              <w:rPr>
                <w:lang w:val="fr-FR"/>
              </w:rPr>
              <w:t>SCHNEIDER ELECTRIC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6A0378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B7FECD8" w14:textId="77777777">
            <w:pPr>
              <w:pStyle w:val="Tab3MiddleColNonGras"/>
              <w:rPr>
                <w:lang w:val="fr-FR"/>
              </w:rPr>
            </w:pPr>
            <w:r>
              <w:rPr>
                <w:lang w:val="fr-FR"/>
              </w:rPr>
              <w:t>12 702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5AE0565" w14:textId="77777777">
            <w:pPr>
              <w:pStyle w:val="Tab3MiddleColNonGras"/>
              <w:rPr>
                <w:lang w:val="fr-FR"/>
              </w:rPr>
            </w:pPr>
            <w:r>
              <w:rPr>
                <w:lang w:val="fr-FR"/>
              </w:rPr>
              <w:t>3 366 732,80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011AEF6" w14:textId="77777777">
            <w:pPr>
              <w:pStyle w:val="Tab3LastColNonGras"/>
              <w:rPr>
                <w:lang w:val="fr-FR"/>
              </w:rPr>
            </w:pPr>
            <w:r>
              <w:rPr>
                <w:lang w:val="fr-FR"/>
              </w:rPr>
              <w:t>0,96</w:t>
            </w:r>
          </w:p>
        </w:tc>
      </w:tr>
      <w:tr w14:paraId="64D7690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68CB9143" w14:textId="77777777">
            <w:pPr>
              <w:pStyle w:val="Tab1FirstColGras"/>
              <w:rPr>
                <w:lang w:val="fr-FR"/>
              </w:rPr>
            </w:pPr>
            <w:r>
              <w:rPr>
                <w:lang w:val="fr-FR"/>
              </w:rPr>
              <w:t>Equipements et fournitures médicaux</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6490AC8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D37942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783C7A14" w14:textId="77777777">
            <w:pPr>
              <w:pStyle w:val="Tab1MiddleColGras"/>
              <w:rPr>
                <w:lang w:val="fr-FR"/>
              </w:rPr>
            </w:pPr>
            <w:r>
              <w:rPr>
                <w:lang w:val="fr-FR"/>
              </w:rPr>
              <w:t>5 504 879,14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3245B82" w14:textId="77777777">
            <w:pPr>
              <w:pStyle w:val="Tab1LastColGras"/>
              <w:rPr>
                <w:lang w:val="fr-FR"/>
              </w:rPr>
            </w:pPr>
            <w:r>
              <w:rPr>
                <w:lang w:val="fr-FR"/>
              </w:rPr>
              <w:t>1,58</w:t>
            </w:r>
          </w:p>
        </w:tc>
      </w:tr>
      <w:tr w14:paraId="26E4FC0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6E46950" w14:textId="77777777">
            <w:pPr>
              <w:pStyle w:val="Tab3FirstColNonGras"/>
              <w:rPr>
                <w:lang w:val="fr-FR"/>
              </w:rPr>
            </w:pPr>
            <w:r>
              <w:rPr>
                <w:lang w:val="fr-FR"/>
              </w:rPr>
              <w:t>ALCON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3A8F801"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43F2551" w14:textId="77777777">
            <w:pPr>
              <w:pStyle w:val="Tab3MiddleColNonGras"/>
              <w:rPr>
                <w:lang w:val="fr-FR"/>
              </w:rPr>
            </w:pPr>
            <w:r>
              <w:rPr>
                <w:lang w:val="fr-FR"/>
              </w:rPr>
              <w:t>5 905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5875E14" w14:textId="77777777">
            <w:pPr>
              <w:pStyle w:val="Tab3MiddleColNonGras"/>
              <w:rPr>
                <w:lang w:val="fr-FR"/>
              </w:rPr>
            </w:pPr>
            <w:r>
              <w:rPr>
                <w:lang w:val="fr-FR"/>
              </w:rPr>
              <w:t>520 786,87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531144F" w14:textId="77777777">
            <w:pPr>
              <w:pStyle w:val="Tab3LastColNonGras"/>
              <w:rPr>
                <w:lang w:val="fr-FR"/>
              </w:rPr>
            </w:pPr>
            <w:r>
              <w:rPr>
                <w:lang w:val="fr-FR"/>
              </w:rPr>
              <w:t>0,15</w:t>
            </w:r>
          </w:p>
        </w:tc>
      </w:tr>
      <w:tr w14:paraId="16AC192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9A596DF" w14:textId="77777777">
            <w:pPr>
              <w:pStyle w:val="Tab3FirstColNonGras"/>
              <w:rPr>
                <w:lang w:val="fr-FR"/>
              </w:rPr>
            </w:pPr>
            <w:r>
              <w:rPr>
                <w:lang w:val="fr-FR"/>
              </w:rPr>
              <w:t>ALIGN TECHNOLOGY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099CC4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73F2692" w14:textId="77777777">
            <w:pPr>
              <w:pStyle w:val="Tab3MiddleColNonGras"/>
              <w:rPr>
                <w:lang w:val="fr-FR"/>
              </w:rPr>
            </w:pPr>
            <w:r>
              <w:rPr>
                <w:lang w:val="fr-FR"/>
              </w:rPr>
              <w:t>654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CB79A43" w14:textId="77777777">
            <w:pPr>
              <w:pStyle w:val="Tab3MiddleColNonGras"/>
              <w:rPr>
                <w:lang w:val="fr-FR"/>
              </w:rPr>
            </w:pPr>
            <w:r>
              <w:rPr>
                <w:lang w:val="fr-FR"/>
              </w:rPr>
              <w:t>123 821,82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AA5D369" w14:textId="77777777">
            <w:pPr>
              <w:pStyle w:val="Tab3LastColNonGras"/>
              <w:rPr>
                <w:lang w:val="fr-FR"/>
              </w:rPr>
            </w:pPr>
            <w:r>
              <w:rPr>
                <w:lang w:val="fr-FR"/>
              </w:rPr>
              <w:t>0,04</w:t>
            </w:r>
          </w:p>
        </w:tc>
      </w:tr>
      <w:tr w14:paraId="025EF30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34E5F09" w14:textId="77777777">
            <w:pPr>
              <w:pStyle w:val="Tab3FirstColNonGras"/>
              <w:rPr>
                <w:lang w:val="fr-FR"/>
              </w:rPr>
            </w:pPr>
            <w:r>
              <w:rPr>
                <w:lang w:val="fr-FR"/>
              </w:rPr>
              <w:t>BAXTER INTERNATIONAL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0A0C2F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2658B9A" w14:textId="77777777">
            <w:pPr>
              <w:pStyle w:val="Tab3MiddleColNonGras"/>
              <w:rPr>
                <w:lang w:val="fr-FR"/>
              </w:rPr>
            </w:pPr>
            <w:r>
              <w:rPr>
                <w:lang w:val="fr-FR"/>
              </w:rPr>
              <w:t>1 217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CA95A0D" w14:textId="77777777">
            <w:pPr>
              <w:pStyle w:val="Tab3MiddleColNonGras"/>
              <w:rPr>
                <w:lang w:val="fr-FR"/>
              </w:rPr>
            </w:pPr>
            <w:r>
              <w:rPr>
                <w:lang w:val="fr-FR"/>
              </w:rPr>
              <w:t>36 850,76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7F08D07" w14:textId="77777777">
            <w:pPr>
              <w:pStyle w:val="Tab3LastColNonGras"/>
              <w:rPr>
                <w:lang w:val="fr-FR"/>
              </w:rPr>
            </w:pPr>
            <w:r>
              <w:rPr>
                <w:lang w:val="fr-FR"/>
              </w:rPr>
              <w:t>0,01</w:t>
            </w:r>
          </w:p>
        </w:tc>
      </w:tr>
      <w:tr w14:paraId="6B0E8BA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F9E10D6" w14:textId="77777777">
            <w:pPr>
              <w:pStyle w:val="Tab3FirstColNonGras"/>
              <w:rPr>
                <w:lang w:val="fr-FR"/>
              </w:rPr>
            </w:pPr>
            <w:r>
              <w:rPr>
                <w:lang w:val="fr-FR"/>
              </w:rPr>
              <w:t>BECTON DICKINSON AND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DF8AB8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7DA077C" w14:textId="77777777">
            <w:pPr>
              <w:pStyle w:val="Tab3MiddleColNonGras"/>
              <w:rPr>
                <w:lang w:val="fr-FR"/>
              </w:rPr>
            </w:pPr>
            <w:r>
              <w:rPr>
                <w:lang w:val="fr-FR"/>
              </w:rPr>
              <w:t>2 558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25DC98E" w14:textId="77777777">
            <w:pPr>
              <w:pStyle w:val="Tab3MiddleColNonGras"/>
              <w:rPr>
                <w:lang w:val="fr-FR"/>
              </w:rPr>
            </w:pPr>
            <w:r>
              <w:rPr>
                <w:lang w:val="fr-FR"/>
              </w:rPr>
              <w:t>440 615,50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30A3E8D" w14:textId="77777777">
            <w:pPr>
              <w:pStyle w:val="Tab3LastColNonGras"/>
              <w:rPr>
                <w:lang w:val="fr-FR"/>
              </w:rPr>
            </w:pPr>
            <w:r>
              <w:rPr>
                <w:lang w:val="fr-FR"/>
              </w:rPr>
              <w:t>0,13</w:t>
            </w:r>
          </w:p>
        </w:tc>
      </w:tr>
      <w:tr w14:paraId="640623B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80F6240" w14:textId="77777777">
            <w:pPr>
              <w:pStyle w:val="Tab3FirstColNonGras"/>
              <w:rPr>
                <w:lang w:val="fr-FR"/>
              </w:rPr>
            </w:pPr>
            <w:r>
              <w:rPr>
                <w:lang w:val="fr-FR"/>
              </w:rPr>
              <w:t>BIOMERIEUX</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139051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3854D60" w14:textId="77777777">
            <w:pPr>
              <w:pStyle w:val="Tab3MiddleColNonGras"/>
              <w:rPr>
                <w:lang w:val="fr-FR"/>
              </w:rPr>
            </w:pPr>
            <w:r>
              <w:rPr>
                <w:lang w:val="fr-FR"/>
              </w:rPr>
              <w:t>531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BF625D5" w14:textId="77777777">
            <w:pPr>
              <w:pStyle w:val="Tab3MiddleColNonGras"/>
              <w:rPr>
                <w:lang w:val="fr-FR"/>
              </w:rPr>
            </w:pPr>
            <w:r>
              <w:rPr>
                <w:lang w:val="fr-FR"/>
              </w:rPr>
              <w:t>73 177,10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D161A92" w14:textId="77777777">
            <w:pPr>
              <w:pStyle w:val="Tab3LastColNonGras"/>
              <w:rPr>
                <w:lang w:val="fr-FR"/>
              </w:rPr>
            </w:pPr>
            <w:r>
              <w:rPr>
                <w:lang w:val="fr-FR"/>
              </w:rPr>
              <w:t>0,02</w:t>
            </w:r>
          </w:p>
        </w:tc>
      </w:tr>
      <w:tr w14:paraId="69E5A75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A95D530" w14:textId="77777777">
            <w:pPr>
              <w:pStyle w:val="Tab3FirstColNonGras"/>
              <w:rPr>
                <w:lang w:val="fr-FR"/>
              </w:rPr>
            </w:pPr>
            <w:r>
              <w:rPr>
                <w:lang w:val="fr-FR"/>
              </w:rPr>
              <w:t>COCHLEAR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1206FE0"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470AB43" w14:textId="77777777">
            <w:pPr>
              <w:pStyle w:val="Tab3MiddleColNonGras"/>
              <w:rPr>
                <w:lang w:val="fr-FR"/>
              </w:rPr>
            </w:pPr>
            <w:r>
              <w:rPr>
                <w:lang w:val="fr-FR"/>
              </w:rPr>
              <w:t>589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166D65F" w14:textId="77777777">
            <w:pPr>
              <w:pStyle w:val="Tab3MiddleColNonGras"/>
              <w:rPr>
                <w:lang w:val="fr-FR"/>
              </w:rPr>
            </w:pPr>
            <w:r>
              <w:rPr>
                <w:lang w:val="fr-FR"/>
              </w:rPr>
              <w:t>115 964,43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13ADAB9" w14:textId="77777777">
            <w:pPr>
              <w:pStyle w:val="Tab3LastColNonGras"/>
              <w:rPr>
                <w:lang w:val="fr-FR"/>
              </w:rPr>
            </w:pPr>
            <w:r>
              <w:rPr>
                <w:lang w:val="fr-FR"/>
              </w:rPr>
              <w:t>0,03</w:t>
            </w:r>
          </w:p>
        </w:tc>
      </w:tr>
      <w:tr w14:paraId="3E7FC94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A52E23F" w14:textId="77777777">
            <w:pPr>
              <w:pStyle w:val="Tab3FirstColNonGras"/>
              <w:rPr>
                <w:lang w:val="fr-FR"/>
              </w:rPr>
            </w:pPr>
            <w:r>
              <w:rPr>
                <w:lang w:val="fr-FR"/>
              </w:rPr>
              <w:t>COLOPLAST-B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8BE5298" w14:textId="77777777">
            <w:pPr>
              <w:pStyle w:val="Tab1MiddleColNonGrasCentre"/>
              <w:rPr>
                <w:lang w:val="fr-FR"/>
              </w:rPr>
            </w:pPr>
            <w:r>
              <w:rPr>
                <w:lang w:val="fr-FR"/>
              </w:rPr>
              <w:t>DKK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873648A" w14:textId="77777777">
            <w:pPr>
              <w:pStyle w:val="Tab3MiddleColNonGras"/>
              <w:rPr>
                <w:lang w:val="fr-FR"/>
              </w:rPr>
            </w:pPr>
            <w:r>
              <w:rPr>
                <w:lang w:val="fr-FR"/>
              </w:rPr>
              <w:t>1 533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DE4DB60" w14:textId="77777777">
            <w:pPr>
              <w:pStyle w:val="Tab3MiddleColNonGras"/>
              <w:rPr>
                <w:lang w:val="fr-FR"/>
              </w:rPr>
            </w:pPr>
            <w:r>
              <w:rPr>
                <w:lang w:val="fr-FR"/>
              </w:rPr>
              <w:t>145 103,27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FC0B22A" w14:textId="77777777">
            <w:pPr>
              <w:pStyle w:val="Tab3LastColNonGras"/>
              <w:rPr>
                <w:lang w:val="fr-FR"/>
              </w:rPr>
            </w:pPr>
            <w:r>
              <w:rPr>
                <w:lang w:val="fr-FR"/>
              </w:rPr>
              <w:t>0,04</w:t>
            </w:r>
          </w:p>
        </w:tc>
      </w:tr>
      <w:tr w14:paraId="223D05A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7588DD7" w14:textId="77777777">
            <w:pPr>
              <w:pStyle w:val="Tab3FirstColNonGras"/>
              <w:rPr>
                <w:lang w:val="fr-FR"/>
              </w:rPr>
            </w:pPr>
            <w:r>
              <w:rPr>
                <w:lang w:val="fr-FR"/>
              </w:rPr>
              <w:t>COOPER COS INC/THE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B46590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4D25F46" w14:textId="77777777">
            <w:pPr>
              <w:pStyle w:val="Tab3MiddleColNonGras"/>
              <w:rPr>
                <w:lang w:val="fr-FR"/>
              </w:rPr>
            </w:pPr>
            <w:r>
              <w:rPr>
                <w:lang w:val="fr-FR"/>
              </w:rPr>
              <w:t>2 328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59DD253" w14:textId="77777777">
            <w:pPr>
              <w:pStyle w:val="Tab3MiddleColNonGras"/>
              <w:rPr>
                <w:lang w:val="fr-FR"/>
              </w:rPr>
            </w:pPr>
            <w:r>
              <w:rPr>
                <w:lang w:val="fr-FR"/>
              </w:rPr>
              <w:t>165 660,48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29AA873" w14:textId="77777777">
            <w:pPr>
              <w:pStyle w:val="Tab3LastColNonGras"/>
              <w:rPr>
                <w:lang w:val="fr-FR"/>
              </w:rPr>
            </w:pPr>
            <w:r>
              <w:rPr>
                <w:lang w:val="fr-FR"/>
              </w:rPr>
              <w:t>0,05</w:t>
            </w:r>
          </w:p>
        </w:tc>
      </w:tr>
      <w:tr w14:paraId="1D03FB1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A0E3175" w14:textId="77777777">
            <w:pPr>
              <w:pStyle w:val="Tab3FirstColNonGras"/>
              <w:rPr>
                <w:lang w:val="fr-FR"/>
              </w:rPr>
            </w:pPr>
            <w:r>
              <w:rPr>
                <w:lang w:val="fr-FR"/>
              </w:rPr>
              <w:t>CVS HEALTH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D8C16E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257FECC" w14:textId="77777777">
            <w:pPr>
              <w:pStyle w:val="Tab3MiddleColNonGras"/>
              <w:rPr>
                <w:lang w:val="fr-FR"/>
              </w:rPr>
            </w:pPr>
            <w:r>
              <w:rPr>
                <w:lang w:val="fr-FR"/>
              </w:rPr>
              <w:t>1 536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4D6D89D" w14:textId="77777777">
            <w:pPr>
              <w:pStyle w:val="Tab3MiddleColNonGras"/>
              <w:rPr>
                <w:lang w:val="fr-FR"/>
              </w:rPr>
            </w:pPr>
            <w:r>
              <w:rPr>
                <w:lang w:val="fr-FR"/>
              </w:rPr>
              <w:t>105 953,28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140C64B" w14:textId="77777777">
            <w:pPr>
              <w:pStyle w:val="Tab3LastColNonGras"/>
              <w:rPr>
                <w:lang w:val="fr-FR"/>
              </w:rPr>
            </w:pPr>
            <w:r>
              <w:rPr>
                <w:lang w:val="fr-FR"/>
              </w:rPr>
              <w:t>0,03</w:t>
            </w:r>
          </w:p>
        </w:tc>
      </w:tr>
      <w:tr w14:paraId="7FFF92D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CC59FDD" w14:textId="77777777">
            <w:pPr>
              <w:pStyle w:val="Tab3FirstColNonGras"/>
              <w:rPr>
                <w:lang w:val="fr-FR"/>
              </w:rPr>
            </w:pPr>
            <w:r>
              <w:rPr>
                <w:lang w:val="fr-FR"/>
              </w:rPr>
              <w:t>DEMANT A/S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492C5B1" w14:textId="77777777">
            <w:pPr>
              <w:pStyle w:val="Tab1MiddleColNonGrasCentre"/>
              <w:rPr>
                <w:lang w:val="fr-FR"/>
              </w:rPr>
            </w:pPr>
            <w:r>
              <w:rPr>
                <w:lang w:val="fr-FR"/>
              </w:rPr>
              <w:t>DKK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DB6DA11" w14:textId="77777777">
            <w:pPr>
              <w:pStyle w:val="Tab3MiddleColNonGras"/>
              <w:rPr>
                <w:lang w:val="fr-FR"/>
              </w:rPr>
            </w:pPr>
            <w:r>
              <w:rPr>
                <w:lang w:val="fr-FR"/>
              </w:rPr>
              <w:t>360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AD86B95" w14:textId="77777777">
            <w:pPr>
              <w:pStyle w:val="Tab3MiddleColNonGras"/>
              <w:rPr>
                <w:lang w:val="fr-FR"/>
              </w:rPr>
            </w:pPr>
            <w:r>
              <w:rPr>
                <w:lang w:val="fr-FR"/>
              </w:rPr>
              <w:t>14 964,51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BA40FD1" w14:textId="77777777">
            <w:pPr>
              <w:pStyle w:val="Tab3LastColNonGras"/>
              <w:rPr>
                <w:lang w:val="fr-FR"/>
              </w:rPr>
            </w:pPr>
            <w:r>
              <w:rPr>
                <w:lang w:val="fr-FR"/>
              </w:rPr>
              <w:t>0,00</w:t>
            </w:r>
          </w:p>
        </w:tc>
      </w:tr>
      <w:tr w14:paraId="1D5A483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AB18B71" w14:textId="77777777">
            <w:pPr>
              <w:pStyle w:val="Tab3FirstColNonGras"/>
              <w:rPr>
                <w:lang w:val="fr-FR"/>
              </w:rPr>
            </w:pPr>
            <w:r>
              <w:rPr>
                <w:lang w:val="fr-FR"/>
              </w:rPr>
              <w:t>DIASORIN SPA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83F243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95D8510" w14:textId="77777777">
            <w:pPr>
              <w:pStyle w:val="Tab3MiddleColNonGras"/>
              <w:rPr>
                <w:lang w:val="fr-FR"/>
              </w:rPr>
            </w:pPr>
            <w:r>
              <w:rPr>
                <w:lang w:val="fr-FR"/>
              </w:rPr>
              <w:t>58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3C66EEF" w14:textId="77777777">
            <w:pPr>
              <w:pStyle w:val="Tab3MiddleColNonGras"/>
              <w:rPr>
                <w:lang w:val="fr-FR"/>
              </w:rPr>
            </w:pPr>
            <w:r>
              <w:rPr>
                <w:lang w:val="fr-FR"/>
              </w:rPr>
              <w:t>6 186,05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E9AA289" w14:textId="77777777">
            <w:pPr>
              <w:pStyle w:val="Tab3LastColNonGras"/>
              <w:rPr>
                <w:lang w:val="fr-FR"/>
              </w:rPr>
            </w:pPr>
            <w:r>
              <w:rPr>
                <w:lang w:val="fr-FR"/>
              </w:rPr>
              <w:t>0,00</w:t>
            </w:r>
          </w:p>
        </w:tc>
      </w:tr>
      <w:tr w14:paraId="67BBCB6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B908B9E" w14:textId="77777777">
            <w:pPr>
              <w:pStyle w:val="Tab3FirstColNonGras"/>
              <w:rPr>
                <w:lang w:val="fr-FR"/>
              </w:rPr>
            </w:pPr>
            <w:r>
              <w:rPr>
                <w:lang w:val="fr-FR"/>
              </w:rPr>
              <w:t>ESSILORLUXOTTICA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34903F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32AE7B7" w14:textId="77777777">
            <w:pPr>
              <w:pStyle w:val="Tab3MiddleColNonGras"/>
              <w:rPr>
                <w:lang w:val="fr-FR"/>
              </w:rPr>
            </w:pPr>
            <w:r>
              <w:rPr>
                <w:lang w:val="fr-FR"/>
              </w:rPr>
              <w:t>3 263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008130D" w14:textId="77777777">
            <w:pPr>
              <w:pStyle w:val="Tab3MiddleColNonGras"/>
              <w:rPr>
                <w:lang w:val="fr-FR"/>
              </w:rPr>
            </w:pPr>
            <w:r>
              <w:rPr>
                <w:lang w:val="fr-FR"/>
              </w:rPr>
              <w:t>892 070,48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0CF9CB5" w14:textId="77777777">
            <w:pPr>
              <w:pStyle w:val="Tab3LastColNonGras"/>
              <w:rPr>
                <w:lang w:val="fr-FR"/>
              </w:rPr>
            </w:pPr>
            <w:r>
              <w:rPr>
                <w:lang w:val="fr-FR"/>
              </w:rPr>
              <w:t>0,26</w:t>
            </w:r>
          </w:p>
        </w:tc>
      </w:tr>
      <w:tr w14:paraId="3798C21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A782895" w14:textId="77777777">
            <w:pPr>
              <w:pStyle w:val="Tab3FirstColNonGras"/>
              <w:rPr>
                <w:lang w:val="fr-FR"/>
              </w:rPr>
            </w:pPr>
            <w:r>
              <w:rPr>
                <w:lang w:val="fr-FR"/>
              </w:rPr>
              <w:t>HOLOGIC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EB9AC0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4086DF8" w14:textId="77777777">
            <w:pPr>
              <w:pStyle w:val="Tab3MiddleColNonGras"/>
              <w:rPr>
                <w:lang w:val="fr-FR"/>
              </w:rPr>
            </w:pPr>
            <w:r>
              <w:rPr>
                <w:lang w:val="fr-FR"/>
              </w:rPr>
              <w:t>2 283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26F8123" w14:textId="77777777">
            <w:pPr>
              <w:pStyle w:val="Tab3MiddleColNonGras"/>
              <w:rPr>
                <w:lang w:val="fr-FR"/>
              </w:rPr>
            </w:pPr>
            <w:r>
              <w:rPr>
                <w:lang w:val="fr-FR"/>
              </w:rPr>
              <w:t>148 760,28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AB9DE7A" w14:textId="77777777">
            <w:pPr>
              <w:pStyle w:val="Tab3LastColNonGras"/>
              <w:rPr>
                <w:lang w:val="fr-FR"/>
              </w:rPr>
            </w:pPr>
            <w:r>
              <w:rPr>
                <w:lang w:val="fr-FR"/>
              </w:rPr>
              <w:t>0,04</w:t>
            </w:r>
          </w:p>
        </w:tc>
      </w:tr>
      <w:tr w14:paraId="741C17B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A5AC90A" w14:textId="77777777">
            <w:pPr>
              <w:pStyle w:val="Tab3FirstColNonGras"/>
              <w:rPr>
                <w:lang w:val="fr-FR"/>
              </w:rPr>
            </w:pPr>
            <w:r>
              <w:rPr>
                <w:lang w:val="fr-FR"/>
              </w:rPr>
              <w:t>IDEXX LABORATORIES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7DF78E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32ECBFB" w14:textId="77777777">
            <w:pPr>
              <w:pStyle w:val="Tab3MiddleColNonGras"/>
              <w:rPr>
                <w:lang w:val="fr-FR"/>
              </w:rPr>
            </w:pPr>
            <w:r>
              <w:rPr>
                <w:lang w:val="fr-FR"/>
              </w:rPr>
              <w:t>978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5541248" w14:textId="77777777">
            <w:pPr>
              <w:pStyle w:val="Tab3MiddleColNonGras"/>
              <w:rPr>
                <w:lang w:val="fr-FR"/>
              </w:rPr>
            </w:pPr>
            <w:r>
              <w:rPr>
                <w:lang w:val="fr-FR"/>
              </w:rPr>
              <w:t>524 540,52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54E338B" w14:textId="77777777">
            <w:pPr>
              <w:pStyle w:val="Tab3LastColNonGras"/>
              <w:rPr>
                <w:lang w:val="fr-FR"/>
              </w:rPr>
            </w:pPr>
            <w:r>
              <w:rPr>
                <w:lang w:val="fr-FR"/>
              </w:rPr>
              <w:t>0,15</w:t>
            </w:r>
          </w:p>
        </w:tc>
      </w:tr>
      <w:tr w14:paraId="4C80C83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4C788FF" w14:textId="77777777">
            <w:pPr>
              <w:pStyle w:val="Tab3FirstColNonGras"/>
              <w:rPr>
                <w:lang w:val="fr-FR"/>
              </w:rPr>
            </w:pPr>
            <w:r>
              <w:rPr>
                <w:lang w:val="fr-FR"/>
              </w:rPr>
              <w:t>MEDTRONIC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5DF88A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B8A9623" w14:textId="77777777">
            <w:pPr>
              <w:pStyle w:val="Tab3MiddleColNonGras"/>
              <w:rPr>
                <w:lang w:val="fr-FR"/>
              </w:rPr>
            </w:pPr>
            <w:r>
              <w:rPr>
                <w:lang w:val="fr-FR"/>
              </w:rPr>
              <w:t>11 374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EAE6EEA" w14:textId="77777777">
            <w:pPr>
              <w:pStyle w:val="Tab3MiddleColNonGras"/>
              <w:rPr>
                <w:lang w:val="fr-FR"/>
              </w:rPr>
            </w:pPr>
            <w:r>
              <w:rPr>
                <w:lang w:val="fr-FR"/>
              </w:rPr>
              <w:t>991 471,58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4E1FBAB" w14:textId="77777777">
            <w:pPr>
              <w:pStyle w:val="Tab3LastColNonGras"/>
              <w:rPr>
                <w:lang w:val="fr-FR"/>
              </w:rPr>
            </w:pPr>
            <w:r>
              <w:rPr>
                <w:lang w:val="fr-FR"/>
              </w:rPr>
              <w:t>0,27</w:t>
            </w:r>
          </w:p>
        </w:tc>
      </w:tr>
      <w:tr w14:paraId="7A467FA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38D611D" w14:textId="77777777">
            <w:pPr>
              <w:pStyle w:val="Tab3FirstColNonGras"/>
              <w:rPr>
                <w:lang w:val="fr-FR"/>
              </w:rPr>
            </w:pPr>
            <w:r>
              <w:rPr>
                <w:lang w:val="fr-FR"/>
              </w:rPr>
              <w:t>SARTORIUS STEDIM BIOTECH</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1D3506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2C15CF6" w14:textId="77777777">
            <w:pPr>
              <w:pStyle w:val="Tab3MiddleColNonGras"/>
              <w:rPr>
                <w:lang w:val="fr-FR"/>
              </w:rPr>
            </w:pPr>
            <w:r>
              <w:rPr>
                <w:lang w:val="fr-FR"/>
              </w:rPr>
              <w:t>258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F180A68" w14:textId="77777777">
            <w:pPr>
              <w:pStyle w:val="Tab3MiddleColNonGras"/>
              <w:rPr>
                <w:lang w:val="fr-FR"/>
              </w:rPr>
            </w:pPr>
            <w:r>
              <w:rPr>
                <w:lang w:val="fr-FR"/>
              </w:rPr>
              <w:t>61 418,65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85404BC" w14:textId="77777777">
            <w:pPr>
              <w:pStyle w:val="Tab3LastColNonGras"/>
              <w:rPr>
                <w:lang w:val="fr-FR"/>
              </w:rPr>
            </w:pPr>
            <w:r>
              <w:rPr>
                <w:lang w:val="fr-FR"/>
              </w:rPr>
              <w:t>0,02</w:t>
            </w:r>
          </w:p>
        </w:tc>
      </w:tr>
      <w:tr w14:paraId="4F6C414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D9D18D0" w14:textId="77777777">
            <w:pPr>
              <w:pStyle w:val="Tab3FirstColNonGras"/>
              <w:rPr>
                <w:lang w:val="fr-FR"/>
              </w:rPr>
            </w:pPr>
            <w:r>
              <w:rPr>
                <w:lang w:val="fr-FR"/>
              </w:rPr>
              <w:t>SMITH &amp; NEPHEW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ECDE544"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BE1255E" w14:textId="77777777">
            <w:pPr>
              <w:pStyle w:val="Tab3MiddleColNonGras"/>
              <w:rPr>
                <w:lang w:val="fr-FR"/>
              </w:rPr>
            </w:pPr>
            <w:r>
              <w:rPr>
                <w:lang w:val="fr-FR"/>
              </w:rPr>
              <w:t>9 339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7633B73" w14:textId="77777777">
            <w:pPr>
              <w:pStyle w:val="Tab3MiddleColNonGras"/>
              <w:rPr>
                <w:lang w:val="fr-FR"/>
              </w:rPr>
            </w:pPr>
            <w:r>
              <w:rPr>
                <w:lang w:val="fr-FR"/>
              </w:rPr>
              <w:t>142 439,38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4EC7C61" w14:textId="77777777">
            <w:pPr>
              <w:pStyle w:val="Tab3LastColNonGras"/>
              <w:rPr>
                <w:lang w:val="fr-FR"/>
              </w:rPr>
            </w:pPr>
            <w:r>
              <w:rPr>
                <w:lang w:val="fr-FR"/>
              </w:rPr>
              <w:t>0,04</w:t>
            </w:r>
          </w:p>
        </w:tc>
      </w:tr>
      <w:tr w14:paraId="6A8782D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711D2F6" w14:textId="77777777">
            <w:pPr>
              <w:pStyle w:val="Tab3FirstColNonGras"/>
              <w:rPr>
                <w:lang w:val="fr-FR"/>
              </w:rPr>
            </w:pPr>
            <w:r>
              <w:rPr>
                <w:lang w:val="fr-FR"/>
              </w:rPr>
              <w:t>SOLVENTUM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1D6CC6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86B9B1A" w14:textId="77777777">
            <w:pPr>
              <w:pStyle w:val="Tab3MiddleColNonGras"/>
              <w:rPr>
                <w:lang w:val="fr-FR"/>
              </w:rPr>
            </w:pPr>
            <w:r>
              <w:rPr>
                <w:lang w:val="fr-FR"/>
              </w:rPr>
              <w:t>1 672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32A0393" w14:textId="77777777">
            <w:pPr>
              <w:pStyle w:val="Tab3MiddleColNonGras"/>
              <w:rPr>
                <w:lang w:val="fr-FR"/>
              </w:rPr>
            </w:pPr>
            <w:r>
              <w:rPr>
                <w:lang w:val="fr-FR"/>
              </w:rPr>
              <w:t>126 804,48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DD7CAAF" w14:textId="77777777">
            <w:pPr>
              <w:pStyle w:val="Tab3LastColNonGras"/>
              <w:rPr>
                <w:lang w:val="fr-FR"/>
              </w:rPr>
            </w:pPr>
            <w:r>
              <w:rPr>
                <w:lang w:val="fr-FR"/>
              </w:rPr>
              <w:t>0,04</w:t>
            </w:r>
          </w:p>
        </w:tc>
      </w:tr>
      <w:tr w14:paraId="2A07FB3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BB2BE07" w14:textId="77777777">
            <w:pPr>
              <w:pStyle w:val="Tab3FirstColNonGras"/>
              <w:rPr>
                <w:lang w:val="fr-FR"/>
              </w:rPr>
            </w:pPr>
            <w:r>
              <w:rPr>
                <w:lang w:val="fr-FR"/>
              </w:rPr>
              <w:t>SONOVA HOLDING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3310987"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B476AF7" w14:textId="77777777">
            <w:pPr>
              <w:pStyle w:val="Tab3MiddleColNonGras"/>
              <w:rPr>
                <w:lang w:val="fr-FR"/>
              </w:rPr>
            </w:pPr>
            <w:r>
              <w:rPr>
                <w:lang w:val="fr-FR"/>
              </w:rPr>
              <w:t>556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DDF674A" w14:textId="77777777">
            <w:pPr>
              <w:pStyle w:val="Tab3MiddleColNonGras"/>
              <w:rPr>
                <w:lang w:val="fr-FR"/>
              </w:rPr>
            </w:pPr>
            <w:r>
              <w:rPr>
                <w:lang w:val="fr-FR"/>
              </w:rPr>
              <w:t>165 129,73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E8A4864" w14:textId="77777777">
            <w:pPr>
              <w:pStyle w:val="Tab3LastColNonGras"/>
              <w:rPr>
                <w:lang w:val="fr-FR"/>
              </w:rPr>
            </w:pPr>
            <w:r>
              <w:rPr>
                <w:lang w:val="fr-FR"/>
              </w:rPr>
              <w:t>0,05</w:t>
            </w:r>
          </w:p>
        </w:tc>
      </w:tr>
      <w:tr w14:paraId="554B846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F3E6E57" w14:textId="77777777">
            <w:pPr>
              <w:pStyle w:val="Tab3FirstColNonGras"/>
              <w:rPr>
                <w:lang w:val="fr-FR"/>
              </w:rPr>
            </w:pPr>
            <w:r>
              <w:rPr>
                <w:lang w:val="fr-FR"/>
              </w:rPr>
              <w:t>STERIS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91BB9E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7B79288" w14:textId="77777777">
            <w:pPr>
              <w:pStyle w:val="Tab3MiddleColNonGras"/>
              <w:rPr>
                <w:lang w:val="fr-FR"/>
              </w:rPr>
            </w:pPr>
            <w:r>
              <w:rPr>
                <w:lang w:val="fr-FR"/>
              </w:rPr>
              <w:t>1 137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87D4D6B" w14:textId="77777777">
            <w:pPr>
              <w:pStyle w:val="Tab3MiddleColNonGras"/>
              <w:rPr>
                <w:lang w:val="fr-FR"/>
              </w:rPr>
            </w:pPr>
            <w:r>
              <w:rPr>
                <w:lang w:val="fr-FR"/>
              </w:rPr>
              <w:t>273 130,14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A0FA576" w14:textId="77777777">
            <w:pPr>
              <w:pStyle w:val="Tab3LastColNonGras"/>
              <w:rPr>
                <w:lang w:val="fr-FR"/>
              </w:rPr>
            </w:pPr>
            <w:r>
              <w:rPr>
                <w:lang w:val="fr-FR"/>
              </w:rPr>
              <w:t>0,08</w:t>
            </w:r>
          </w:p>
        </w:tc>
      </w:tr>
      <w:tr w14:paraId="78FBBAE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D23F3EF" w14:textId="77777777">
            <w:pPr>
              <w:pStyle w:val="Tab3FirstColNonGras"/>
              <w:rPr>
                <w:lang w:val="fr-FR"/>
              </w:rPr>
            </w:pPr>
            <w:r>
              <w:rPr>
                <w:lang w:val="fr-FR"/>
              </w:rPr>
              <w:t>STRAUMANN HOLDING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751E359"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B8BD122" w14:textId="77777777">
            <w:pPr>
              <w:pStyle w:val="Tab3MiddleColNonGras"/>
              <w:rPr>
                <w:lang w:val="fr-FR"/>
              </w:rPr>
            </w:pPr>
            <w:r>
              <w:rPr>
                <w:lang w:val="fr-FR"/>
              </w:rPr>
              <w:t>1 263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DE2CC4F" w14:textId="77777777">
            <w:pPr>
              <w:pStyle w:val="Tab3MiddleColNonGras"/>
              <w:rPr>
                <w:lang w:val="fr-FR"/>
              </w:rPr>
            </w:pPr>
            <w:r>
              <w:rPr>
                <w:lang w:val="fr-FR"/>
              </w:rPr>
              <w:t>164 307,15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0C4CD10" w14:textId="77777777">
            <w:pPr>
              <w:pStyle w:val="Tab3LastColNonGras"/>
              <w:rPr>
                <w:lang w:val="fr-FR"/>
              </w:rPr>
            </w:pPr>
            <w:r>
              <w:rPr>
                <w:lang w:val="fr-FR"/>
              </w:rPr>
              <w:t>0,05</w:t>
            </w:r>
          </w:p>
        </w:tc>
      </w:tr>
      <w:tr w14:paraId="74ED956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C3DEC75" w14:textId="77777777">
            <w:pPr>
              <w:pStyle w:val="Tab3FirstColNonGras"/>
              <w:rPr>
                <w:lang w:val="fr-FR"/>
              </w:rPr>
            </w:pPr>
            <w:r>
              <w:rPr>
                <w:lang w:val="fr-FR"/>
              </w:rPr>
              <w:t>SYSMEX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EA53BB8"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3F0B505" w14:textId="77777777">
            <w:pPr>
              <w:pStyle w:val="Tab3MiddleColNonGras"/>
              <w:rPr>
                <w:lang w:val="fr-FR"/>
              </w:rPr>
            </w:pPr>
            <w:r>
              <w:rPr>
                <w:lang w:val="fr-FR"/>
              </w:rPr>
              <w:t>5 600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45D5CFB" w14:textId="77777777">
            <w:pPr>
              <w:pStyle w:val="Tab3MiddleColNonGras"/>
              <w:rPr>
                <w:lang w:val="fr-FR"/>
              </w:rPr>
            </w:pPr>
            <w:r>
              <w:rPr>
                <w:lang w:val="fr-FR"/>
              </w:rPr>
              <w:t>97 465,48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CC4CCB3" w14:textId="77777777">
            <w:pPr>
              <w:pStyle w:val="Tab3LastColNonGras"/>
              <w:rPr>
                <w:lang w:val="fr-FR"/>
              </w:rPr>
            </w:pPr>
            <w:r>
              <w:rPr>
                <w:lang w:val="fr-FR"/>
              </w:rPr>
              <w:t>0,03</w:t>
            </w:r>
          </w:p>
        </w:tc>
      </w:tr>
      <w:tr w14:paraId="2414126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988F72A" w14:textId="77777777">
            <w:pPr>
              <w:pStyle w:val="Tab3FirstColNonGras"/>
              <w:rPr>
                <w:lang w:val="fr-FR"/>
              </w:rPr>
            </w:pPr>
            <w:r>
              <w:rPr>
                <w:lang w:val="fr-FR"/>
              </w:rPr>
              <w:t>WEST PHARMACEUTICAL SERVICES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67EFE5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0F13C83" w14:textId="77777777">
            <w:pPr>
              <w:pStyle w:val="Tab3MiddleColNonGras"/>
              <w:rPr>
                <w:lang w:val="fr-FR"/>
              </w:rPr>
            </w:pPr>
            <w:r>
              <w:rPr>
                <w:lang w:val="fr-FR"/>
              </w:rPr>
              <w:t>769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1AB117B" w14:textId="77777777">
            <w:pPr>
              <w:pStyle w:val="Tab3MiddleColNonGras"/>
              <w:rPr>
                <w:lang w:val="fr-FR"/>
              </w:rPr>
            </w:pPr>
            <w:r>
              <w:rPr>
                <w:lang w:val="fr-FR"/>
              </w:rPr>
              <w:t>168 257,20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ACA75BF" w14:textId="77777777">
            <w:pPr>
              <w:pStyle w:val="Tab3LastColNonGras"/>
              <w:rPr>
                <w:lang w:val="fr-FR"/>
              </w:rPr>
            </w:pPr>
            <w:r>
              <w:rPr>
                <w:lang w:val="fr-FR"/>
              </w:rPr>
              <w:t>0,05</w:t>
            </w:r>
          </w:p>
        </w:tc>
      </w:tr>
      <w:tr w14:paraId="706609C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3113CAF9" w14:textId="77777777">
            <w:pPr>
              <w:pStyle w:val="Tab1FirstColGras"/>
              <w:rPr>
                <w:lang w:val="fr-FR"/>
              </w:rPr>
            </w:pPr>
            <w:r>
              <w:rPr>
                <w:lang w:val="fr-FR"/>
              </w:rPr>
              <w:t>Equipements et instruments électroniques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5F5E7118"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525A03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4F80AA3C" w14:textId="77777777">
            <w:pPr>
              <w:pStyle w:val="Tab1MiddleColGras"/>
              <w:rPr>
                <w:lang w:val="fr-FR"/>
              </w:rPr>
            </w:pPr>
            <w:r>
              <w:rPr>
                <w:lang w:val="fr-FR"/>
              </w:rPr>
              <w:t>4 136 494,54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60F9F7C" w14:textId="77777777">
            <w:pPr>
              <w:pStyle w:val="Tab1LastColGras"/>
              <w:rPr>
                <w:lang w:val="fr-FR"/>
              </w:rPr>
            </w:pPr>
            <w:r>
              <w:rPr>
                <w:lang w:val="fr-FR"/>
              </w:rPr>
              <w:t>1,19</w:t>
            </w:r>
          </w:p>
        </w:tc>
      </w:tr>
      <w:tr w14:paraId="4B889C2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592C854" w14:textId="77777777">
            <w:pPr>
              <w:pStyle w:val="Tab3FirstColNonGras"/>
              <w:rPr>
                <w:lang w:val="fr-FR"/>
              </w:rPr>
            </w:pPr>
            <w:r>
              <w:rPr>
                <w:lang w:val="fr-FR"/>
              </w:rPr>
              <w:t>AMPHENOL CORP-CL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B1C03A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CC5D06D" w14:textId="77777777">
            <w:pPr>
              <w:pStyle w:val="Tab3MiddleColNonGras"/>
              <w:rPr>
                <w:lang w:val="fr-FR"/>
              </w:rPr>
            </w:pPr>
            <w:r>
              <w:rPr>
                <w:lang w:val="fr-FR"/>
              </w:rPr>
              <w:t>13 416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BD9B181" w14:textId="77777777">
            <w:pPr>
              <w:pStyle w:val="Tab3MiddleColNonGras"/>
              <w:rPr>
                <w:lang w:val="fr-FR"/>
              </w:rPr>
            </w:pPr>
            <w:r>
              <w:rPr>
                <w:lang w:val="fr-FR"/>
              </w:rPr>
              <w:t>1 324 830,00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97B556A" w14:textId="77777777">
            <w:pPr>
              <w:pStyle w:val="Tab3LastColNonGras"/>
              <w:rPr>
                <w:lang w:val="fr-FR"/>
              </w:rPr>
            </w:pPr>
            <w:r>
              <w:rPr>
                <w:lang w:val="fr-FR"/>
              </w:rPr>
              <w:t>0,39</w:t>
            </w:r>
          </w:p>
        </w:tc>
      </w:tr>
      <w:tr w14:paraId="05F3B37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2DB3312" w14:textId="77777777">
            <w:pPr>
              <w:pStyle w:val="Tab3FirstColNonGras"/>
              <w:rPr>
                <w:lang w:val="fr-FR"/>
              </w:rPr>
            </w:pPr>
            <w:r>
              <w:rPr>
                <w:lang w:val="fr-FR"/>
              </w:rPr>
              <w:t>CELESTICA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E432E81"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25BD318" w14:textId="77777777">
            <w:pPr>
              <w:pStyle w:val="Tab3MiddleColNonGras"/>
              <w:rPr>
                <w:lang w:val="fr-FR"/>
              </w:rPr>
            </w:pPr>
            <w:r>
              <w:rPr>
                <w:lang w:val="fr-FR"/>
              </w:rPr>
              <w:t>278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7BE1D75" w14:textId="77777777">
            <w:pPr>
              <w:pStyle w:val="Tab3MiddleColNonGras"/>
              <w:rPr>
                <w:lang w:val="fr-FR"/>
              </w:rPr>
            </w:pPr>
            <w:r>
              <w:rPr>
                <w:lang w:val="fr-FR"/>
              </w:rPr>
              <w:t>43 346,36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37CCDE6" w14:textId="77777777">
            <w:pPr>
              <w:pStyle w:val="Tab3LastColNonGras"/>
              <w:rPr>
                <w:lang w:val="fr-FR"/>
              </w:rPr>
            </w:pPr>
            <w:r>
              <w:rPr>
                <w:lang w:val="fr-FR"/>
              </w:rPr>
              <w:t>0,01</w:t>
            </w:r>
          </w:p>
        </w:tc>
      </w:tr>
      <w:tr w14:paraId="5C0B7D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138BDEF" w14:textId="77777777">
            <w:pPr>
              <w:pStyle w:val="Tab3FirstColNonGras"/>
              <w:rPr>
                <w:lang w:val="fr-FR"/>
              </w:rPr>
            </w:pPr>
            <w:r>
              <w:rPr>
                <w:lang w:val="fr-FR"/>
              </w:rPr>
              <w:t>HALMA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8DB74A2"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616399B" w14:textId="77777777">
            <w:pPr>
              <w:pStyle w:val="Tab3MiddleColNonGras"/>
              <w:rPr>
                <w:lang w:val="fr-FR"/>
              </w:rPr>
            </w:pPr>
            <w:r>
              <w:rPr>
                <w:lang w:val="fr-FR"/>
              </w:rPr>
              <w:t>3 870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DAC9F1E" w14:textId="77777777">
            <w:pPr>
              <w:pStyle w:val="Tab3MiddleColNonGras"/>
              <w:rPr>
                <w:lang w:val="fr-FR"/>
              </w:rPr>
            </w:pPr>
            <w:r>
              <w:rPr>
                <w:lang w:val="fr-FR"/>
              </w:rPr>
              <w:t>169 705,33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260F108" w14:textId="77777777">
            <w:pPr>
              <w:pStyle w:val="Tab3LastColNonGras"/>
              <w:rPr>
                <w:lang w:val="fr-FR"/>
              </w:rPr>
            </w:pPr>
            <w:r>
              <w:rPr>
                <w:lang w:val="fr-FR"/>
              </w:rPr>
              <w:t>0,05</w:t>
            </w:r>
          </w:p>
        </w:tc>
      </w:tr>
      <w:tr w14:paraId="78F4E6E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FC91798" w14:textId="77777777">
            <w:pPr>
              <w:pStyle w:val="Tab3FirstColNonGras"/>
              <w:rPr>
                <w:lang w:val="fr-FR"/>
              </w:rPr>
            </w:pPr>
            <w:r>
              <w:rPr>
                <w:lang w:val="fr-FR"/>
              </w:rPr>
              <w:t>HOYA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09AF1B8"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337EEF7" w14:textId="77777777">
            <w:pPr>
              <w:pStyle w:val="Tab3MiddleColNonGras"/>
              <w:rPr>
                <w:lang w:val="fr-FR"/>
              </w:rPr>
            </w:pPr>
            <w:r>
              <w:rPr>
                <w:lang w:val="fr-FR"/>
              </w:rPr>
              <w:t>3 800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3D772BD" w14:textId="77777777">
            <w:pPr>
              <w:pStyle w:val="Tab3MiddleColNonGras"/>
              <w:rPr>
                <w:lang w:val="fr-FR"/>
              </w:rPr>
            </w:pPr>
            <w:r>
              <w:rPr>
                <w:lang w:val="fr-FR"/>
              </w:rPr>
              <w:t>451 306,76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B59A3FD" w14:textId="77777777">
            <w:pPr>
              <w:pStyle w:val="Tab3LastColNonGras"/>
              <w:rPr>
                <w:lang w:val="fr-FR"/>
              </w:rPr>
            </w:pPr>
            <w:r>
              <w:rPr>
                <w:lang w:val="fr-FR"/>
              </w:rPr>
              <w:t>0,13</w:t>
            </w:r>
          </w:p>
        </w:tc>
      </w:tr>
      <w:tr w14:paraId="6B61736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64AABB1" w14:textId="77777777">
            <w:pPr>
              <w:pStyle w:val="Tab3FirstColNonGras"/>
              <w:rPr>
                <w:lang w:val="fr-FR"/>
              </w:rPr>
            </w:pPr>
            <w:r>
              <w:rPr>
                <w:lang w:val="fr-FR"/>
              </w:rPr>
              <w:t>JABIL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9A990A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91FFB7D" w14:textId="77777777">
            <w:pPr>
              <w:pStyle w:val="Tab3MiddleColNonGras"/>
              <w:rPr>
                <w:lang w:val="fr-FR"/>
              </w:rPr>
            </w:pPr>
            <w:r>
              <w:rPr>
                <w:lang w:val="fr-FR"/>
              </w:rPr>
              <w:t>218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AFFBE8E" w14:textId="77777777">
            <w:pPr>
              <w:pStyle w:val="Tab3MiddleColNonGras"/>
              <w:rPr>
                <w:lang w:val="fr-FR"/>
              </w:rPr>
            </w:pPr>
            <w:r>
              <w:rPr>
                <w:lang w:val="fr-FR"/>
              </w:rPr>
              <w:t>47 545,80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03E26C1" w14:textId="77777777">
            <w:pPr>
              <w:pStyle w:val="Tab3LastColNonGras"/>
              <w:rPr>
                <w:lang w:val="fr-FR"/>
              </w:rPr>
            </w:pPr>
            <w:r>
              <w:rPr>
                <w:lang w:val="fr-FR"/>
              </w:rPr>
              <w:t>0,01</w:t>
            </w:r>
          </w:p>
        </w:tc>
      </w:tr>
      <w:tr w14:paraId="0DCB5EC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4964172" w14:textId="77777777">
            <w:pPr>
              <w:pStyle w:val="Tab3FirstColNonGras"/>
              <w:rPr>
                <w:lang w:val="fr-FR"/>
              </w:rPr>
            </w:pPr>
            <w:r>
              <w:rPr>
                <w:lang w:val="fr-FR"/>
              </w:rPr>
              <w:t>KEYENCE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359654A"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78FAE88" w14:textId="77777777">
            <w:pPr>
              <w:pStyle w:val="Tab3MiddleColNonGras"/>
              <w:rPr>
                <w:lang w:val="fr-FR"/>
              </w:rPr>
            </w:pPr>
            <w:r>
              <w:rPr>
                <w:lang w:val="fr-FR"/>
              </w:rPr>
              <w:t>2 200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E2791C3" w14:textId="77777777">
            <w:pPr>
              <w:pStyle w:val="Tab3MiddleColNonGras"/>
              <w:rPr>
                <w:lang w:val="fr-FR"/>
              </w:rPr>
            </w:pPr>
            <w:r>
              <w:rPr>
                <w:lang w:val="fr-FR"/>
              </w:rPr>
              <w:t>880 944,37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F0FD782" w14:textId="77777777">
            <w:pPr>
              <w:pStyle w:val="Tab3LastColNonGras"/>
              <w:rPr>
                <w:lang w:val="fr-FR"/>
              </w:rPr>
            </w:pPr>
            <w:r>
              <w:rPr>
                <w:lang w:val="fr-FR"/>
              </w:rPr>
              <w:t>0,25</w:t>
            </w:r>
          </w:p>
        </w:tc>
      </w:tr>
      <w:tr w14:paraId="04DA663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DFF0BB9" w14:textId="77777777">
            <w:pPr>
              <w:pStyle w:val="Tab3FirstColNonGras"/>
              <w:rPr>
                <w:lang w:val="fr-FR"/>
              </w:rPr>
            </w:pPr>
            <w:r>
              <w:rPr>
                <w:lang w:val="fr-FR"/>
              </w:rPr>
              <w:t>KYOCERA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C718A7A"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ADA5518" w14:textId="77777777">
            <w:pPr>
              <w:pStyle w:val="Tab3MiddleColNonGras"/>
              <w:rPr>
                <w:lang w:val="fr-FR"/>
              </w:rPr>
            </w:pPr>
            <w:r>
              <w:rPr>
                <w:lang w:val="fr-FR"/>
              </w:rPr>
              <w:t>3 100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4FF4D56" w14:textId="77777777">
            <w:pPr>
              <w:pStyle w:val="Tab3MiddleColNonGras"/>
              <w:rPr>
                <w:lang w:val="fr-FR"/>
              </w:rPr>
            </w:pPr>
            <w:r>
              <w:rPr>
                <w:lang w:val="fr-FR"/>
              </w:rPr>
              <w:t>37 203,44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146D15B" w14:textId="77777777">
            <w:pPr>
              <w:pStyle w:val="Tab3LastColNonGras"/>
              <w:rPr>
                <w:lang w:val="fr-FR"/>
              </w:rPr>
            </w:pPr>
            <w:r>
              <w:rPr>
                <w:lang w:val="fr-FR"/>
              </w:rPr>
              <w:t>0,01</w:t>
            </w:r>
          </w:p>
        </w:tc>
      </w:tr>
      <w:tr w14:paraId="58B7869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9909490" w14:textId="77777777">
            <w:pPr>
              <w:pStyle w:val="Tab3FirstColNonGras"/>
              <w:rPr>
                <w:lang w:val="fr-FR"/>
              </w:rPr>
            </w:pPr>
            <w:r>
              <w:rPr>
                <w:lang w:val="fr-FR"/>
              </w:rPr>
              <w:t>MURATA MANUFACTURING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AA03BD1"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023A329" w14:textId="77777777">
            <w:pPr>
              <w:pStyle w:val="Tab3MiddleColNonGras"/>
              <w:rPr>
                <w:lang w:val="fr-FR"/>
              </w:rPr>
            </w:pPr>
            <w:r>
              <w:rPr>
                <w:lang w:val="fr-FR"/>
              </w:rPr>
              <w:t>15 500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2371463" w14:textId="77777777">
            <w:pPr>
              <w:pStyle w:val="Tab3MiddleColNonGras"/>
              <w:rPr>
                <w:lang w:val="fr-FR"/>
              </w:rPr>
            </w:pPr>
            <w:r>
              <w:rPr>
                <w:lang w:val="fr-FR"/>
              </w:rPr>
              <w:t>231 139,90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6161885" w14:textId="77777777">
            <w:pPr>
              <w:pStyle w:val="Tab3LastColNonGras"/>
              <w:rPr>
                <w:lang w:val="fr-FR"/>
              </w:rPr>
            </w:pPr>
            <w:r>
              <w:rPr>
                <w:lang w:val="fr-FR"/>
              </w:rPr>
              <w:t>0,07</w:t>
            </w:r>
          </w:p>
        </w:tc>
      </w:tr>
      <w:tr w14:paraId="3B9F997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3B38516" w14:textId="77777777">
            <w:pPr>
              <w:pStyle w:val="Tab3FirstColNonGras"/>
              <w:rPr>
                <w:lang w:val="fr-FR"/>
              </w:rPr>
            </w:pPr>
            <w:r>
              <w:rPr>
                <w:lang w:val="fr-FR"/>
              </w:rPr>
              <w:t>NEXON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90546E0"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A7CEDD3" w14:textId="77777777">
            <w:pPr>
              <w:pStyle w:val="Tab3MiddleColNonGras"/>
              <w:rPr>
                <w:lang w:val="fr-FR"/>
              </w:rPr>
            </w:pPr>
            <w:r>
              <w:rPr>
                <w:lang w:val="fr-FR"/>
              </w:rPr>
              <w:t>2 300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5BC6116" w14:textId="77777777">
            <w:pPr>
              <w:pStyle w:val="Tab3MiddleColNonGras"/>
              <w:rPr>
                <w:lang w:val="fr-FR"/>
              </w:rPr>
            </w:pPr>
            <w:r>
              <w:rPr>
                <w:lang w:val="fr-FR"/>
              </w:rPr>
              <w:t>46 335,98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6E573FD" w14:textId="77777777">
            <w:pPr>
              <w:pStyle w:val="Tab3LastColNonGras"/>
              <w:rPr>
                <w:lang w:val="fr-FR"/>
              </w:rPr>
            </w:pPr>
            <w:r>
              <w:rPr>
                <w:lang w:val="fr-FR"/>
              </w:rPr>
              <w:t>0,01</w:t>
            </w:r>
          </w:p>
        </w:tc>
      </w:tr>
      <w:tr w14:paraId="7413037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4CE2012" w14:textId="77777777">
            <w:pPr>
              <w:pStyle w:val="Tab3FirstColNonGras"/>
              <w:rPr>
                <w:lang w:val="fr-FR"/>
              </w:rPr>
            </w:pPr>
            <w:r>
              <w:rPr>
                <w:lang w:val="fr-FR"/>
              </w:rPr>
              <w:t>OKTA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2B1503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75E592C" w14:textId="77777777">
            <w:pPr>
              <w:pStyle w:val="Tab3MiddleColNonGras"/>
              <w:rPr>
                <w:lang w:val="fr-FR"/>
              </w:rPr>
            </w:pPr>
            <w:r>
              <w:rPr>
                <w:lang w:val="fr-FR"/>
              </w:rPr>
              <w:t>997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98F99A4" w14:textId="77777777">
            <w:pPr>
              <w:pStyle w:val="Tab3MiddleColNonGras"/>
              <w:rPr>
                <w:lang w:val="fr-FR"/>
              </w:rPr>
            </w:pPr>
            <w:r>
              <w:rPr>
                <w:lang w:val="fr-FR"/>
              </w:rPr>
              <w:t>99 670,09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5060C4F" w14:textId="77777777">
            <w:pPr>
              <w:pStyle w:val="Tab3LastColNonGras"/>
              <w:rPr>
                <w:lang w:val="fr-FR"/>
              </w:rPr>
            </w:pPr>
            <w:r>
              <w:rPr>
                <w:lang w:val="fr-FR"/>
              </w:rPr>
              <w:t>0,03</w:t>
            </w:r>
          </w:p>
        </w:tc>
      </w:tr>
      <w:tr w14:paraId="5163666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8790B75" w14:textId="77777777">
            <w:pPr>
              <w:pStyle w:val="Tab3FirstColNonGras"/>
              <w:rPr>
                <w:lang w:val="fr-FR"/>
              </w:rPr>
            </w:pPr>
            <w:r>
              <w:rPr>
                <w:lang w:val="fr-FR"/>
              </w:rPr>
              <w:t>OMRON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6B93A87"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B0741A2" w14:textId="77777777">
            <w:pPr>
              <w:pStyle w:val="Tab3MiddleColNonGras"/>
              <w:rPr>
                <w:lang w:val="fr-FR"/>
              </w:rPr>
            </w:pPr>
            <w:r>
              <w:rPr>
                <w:lang w:val="fr-FR"/>
              </w:rPr>
              <w:t>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06DAF9B" w14:textId="77777777">
            <w:pPr>
              <w:pStyle w:val="Tab3MiddleColNonGras"/>
              <w:rPr>
                <w:lang w:val="fr-FR"/>
              </w:rPr>
            </w:pPr>
            <w:r>
              <w:rPr>
                <w:lang w:val="fr-FR"/>
              </w:rPr>
              <w:t>16 175,02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AF6994A" w14:textId="77777777">
            <w:pPr>
              <w:pStyle w:val="Tab3LastColNonGras"/>
              <w:rPr>
                <w:lang w:val="fr-FR"/>
              </w:rPr>
            </w:pPr>
            <w:r>
              <w:rPr>
                <w:lang w:val="fr-FR"/>
              </w:rPr>
              <w:t>0,00</w:t>
            </w:r>
          </w:p>
        </w:tc>
      </w:tr>
      <w:tr w14:paraId="6BB8F6F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D5C51EF" w14:textId="77777777">
            <w:pPr>
              <w:pStyle w:val="Tab3FirstColNonGras"/>
              <w:rPr>
                <w:lang w:val="fr-FR"/>
              </w:rPr>
            </w:pPr>
            <w:r>
              <w:rPr>
                <w:lang w:val="fr-FR"/>
              </w:rPr>
              <w:t>SUPER MICRO COMPUTER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9C039D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E776B89" w14:textId="77777777">
            <w:pPr>
              <w:pStyle w:val="Tab3MiddleColNonGras"/>
              <w:rPr>
                <w:lang w:val="fr-FR"/>
              </w:rPr>
            </w:pPr>
            <w:r>
              <w:rPr>
                <w:lang w:val="fr-FR"/>
              </w:rPr>
              <w:t>5 563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665215D" w14:textId="77777777">
            <w:pPr>
              <w:pStyle w:val="Tab3MiddleColNonGras"/>
              <w:rPr>
                <w:lang w:val="fr-FR"/>
              </w:rPr>
            </w:pPr>
            <w:r>
              <w:rPr>
                <w:lang w:val="fr-FR"/>
              </w:rPr>
              <w:t>272 642,63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0BDC845" w14:textId="77777777">
            <w:pPr>
              <w:pStyle w:val="Tab3LastColNonGras"/>
              <w:rPr>
                <w:lang w:val="fr-FR"/>
              </w:rPr>
            </w:pPr>
            <w:r>
              <w:rPr>
                <w:lang w:val="fr-FR"/>
              </w:rPr>
              <w:t>0,08</w:t>
            </w:r>
          </w:p>
        </w:tc>
      </w:tr>
      <w:tr w14:paraId="20535FF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1E6BA18" w14:textId="77777777">
            <w:pPr>
              <w:pStyle w:val="Tab3FirstColNonGras"/>
              <w:rPr>
                <w:lang w:val="fr-FR"/>
              </w:rPr>
            </w:pPr>
            <w:r>
              <w:rPr>
                <w:lang w:val="fr-FR"/>
              </w:rPr>
              <w:t>TDK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B7E0142"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C033950" w14:textId="77777777">
            <w:pPr>
              <w:pStyle w:val="Tab3MiddleColNonGras"/>
              <w:rPr>
                <w:lang w:val="fr-FR"/>
              </w:rPr>
            </w:pPr>
            <w:r>
              <w:rPr>
                <w:lang w:val="fr-FR"/>
              </w:rPr>
              <w:t>4 800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2BA811D" w14:textId="77777777">
            <w:pPr>
              <w:pStyle w:val="Tab3MiddleColNonGras"/>
              <w:rPr>
                <w:lang w:val="fr-FR"/>
              </w:rPr>
            </w:pPr>
            <w:r>
              <w:rPr>
                <w:lang w:val="fr-FR"/>
              </w:rPr>
              <w:t>56 342,56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7F80137" w14:textId="77777777">
            <w:pPr>
              <w:pStyle w:val="Tab3LastColNonGras"/>
              <w:rPr>
                <w:lang w:val="fr-FR"/>
              </w:rPr>
            </w:pPr>
            <w:r>
              <w:rPr>
                <w:lang w:val="fr-FR"/>
              </w:rPr>
              <w:t>0,02</w:t>
            </w:r>
          </w:p>
        </w:tc>
      </w:tr>
      <w:tr w14:paraId="037565D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99651EA" w14:textId="77777777">
            <w:pPr>
              <w:pStyle w:val="Tab3FirstColNonGras"/>
              <w:rPr>
                <w:lang w:val="fr-FR"/>
              </w:rPr>
            </w:pPr>
            <w:r>
              <w:rPr>
                <w:lang w:val="fr-FR"/>
              </w:rPr>
              <w:t>TRIMBLE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6D1522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7497B55" w14:textId="77777777">
            <w:pPr>
              <w:pStyle w:val="Tab3MiddleColNonGras"/>
              <w:rPr>
                <w:lang w:val="fr-FR"/>
              </w:rPr>
            </w:pPr>
            <w:r>
              <w:rPr>
                <w:lang w:val="fr-FR"/>
              </w:rPr>
              <w:t>2 436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90D4B91" w14:textId="77777777">
            <w:pPr>
              <w:pStyle w:val="Tab3MiddleColNonGras"/>
              <w:rPr>
                <w:lang w:val="fr-FR"/>
              </w:rPr>
            </w:pPr>
            <w:r>
              <w:rPr>
                <w:lang w:val="fr-FR"/>
              </w:rPr>
              <w:t>185 087,28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E18AB6E" w14:textId="77777777">
            <w:pPr>
              <w:pStyle w:val="Tab3LastColNonGras"/>
              <w:rPr>
                <w:lang w:val="fr-FR"/>
              </w:rPr>
            </w:pPr>
            <w:r>
              <w:rPr>
                <w:lang w:val="fr-FR"/>
              </w:rPr>
              <w:t>0,05</w:t>
            </w:r>
          </w:p>
        </w:tc>
      </w:tr>
      <w:tr w14:paraId="537FC13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9CFC802" w14:textId="77777777">
            <w:pPr>
              <w:pStyle w:val="Tab3FirstColNonGras"/>
              <w:rPr>
                <w:lang w:val="fr-FR"/>
              </w:rPr>
            </w:pPr>
            <w:r>
              <w:rPr>
                <w:lang w:val="fr-FR"/>
              </w:rPr>
              <w:t>ZEBRA TECHNOLOGIES CORP-CL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338E0B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811030C" w14:textId="77777777">
            <w:pPr>
              <w:pStyle w:val="Tab3MiddleColNonGras"/>
              <w:rPr>
                <w:lang w:val="fr-FR"/>
              </w:rPr>
            </w:pPr>
            <w:r>
              <w:rPr>
                <w:lang w:val="fr-FR"/>
              </w:rPr>
              <w:t>536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FAEE343" w14:textId="77777777">
            <w:pPr>
              <w:pStyle w:val="Tab3MiddleColNonGras"/>
              <w:rPr>
                <w:lang w:val="fr-FR"/>
              </w:rPr>
            </w:pPr>
            <w:r>
              <w:rPr>
                <w:lang w:val="fr-FR"/>
              </w:rPr>
              <w:t>165 280,96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3515D94" w14:textId="77777777">
            <w:pPr>
              <w:pStyle w:val="Tab3LastColNonGras"/>
              <w:rPr>
                <w:lang w:val="fr-FR"/>
              </w:rPr>
            </w:pPr>
            <w:r>
              <w:rPr>
                <w:lang w:val="fr-FR"/>
              </w:rPr>
              <w:t>0,05</w:t>
            </w:r>
          </w:p>
        </w:tc>
      </w:tr>
      <w:tr w14:paraId="01B577B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725567D" w14:textId="77777777">
            <w:pPr>
              <w:pStyle w:val="Tab3FirstColNonGras"/>
              <w:rPr>
                <w:lang w:val="fr-FR"/>
              </w:rPr>
            </w:pPr>
            <w:r>
              <w:rPr>
                <w:lang w:val="fr-FR"/>
              </w:rPr>
              <w:t>ZOOM COMMUNICATIONS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E73F9F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24A2D0F" w14:textId="77777777">
            <w:pPr>
              <w:pStyle w:val="Tab3MiddleColNonGras"/>
              <w:rPr>
                <w:lang w:val="fr-FR"/>
              </w:rPr>
            </w:pPr>
            <w:r>
              <w:rPr>
                <w:lang w:val="fr-FR"/>
              </w:rPr>
              <w:t>1 397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2AF8399" w14:textId="77777777">
            <w:pPr>
              <w:pStyle w:val="Tab3MiddleColNonGras"/>
              <w:rPr>
                <w:lang w:val="fr-FR"/>
              </w:rPr>
            </w:pPr>
            <w:r>
              <w:rPr>
                <w:lang w:val="fr-FR"/>
              </w:rPr>
              <w:t>108 938,06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25854AE" w14:textId="77777777">
            <w:pPr>
              <w:pStyle w:val="Tab3LastColNonGras"/>
              <w:rPr>
                <w:lang w:val="fr-FR"/>
              </w:rPr>
            </w:pPr>
            <w:r>
              <w:rPr>
                <w:lang w:val="fr-FR"/>
              </w:rPr>
              <w:t>0,03</w:t>
            </w:r>
          </w:p>
        </w:tc>
      </w:tr>
    </w:tbl>
    <w:p w:rsidR="001F4AEE" w14:paraId="29BEA5E3" w14:textId="77777777">
      <w:pPr>
        <w:sectPr>
          <w:headerReference w:type="default" r:id="rId34"/>
          <w:footerReference w:type="default" r:id="rId35"/>
          <w:pgSz w:w="11900" w:h="16840"/>
          <w:pgMar w:top="2154" w:right="1134" w:bottom="1134" w:left="1134" w:header="400" w:footer="400" w:gutter="0"/>
          <w:cols w:space="720"/>
        </w:sectPr>
      </w:pPr>
    </w:p>
    <w:p w:rsidR="001F4AEE" w14:paraId="11EEB95B" w14:textId="77777777">
      <w:pPr>
        <w:spacing w:line="30" w:lineRule="exact"/>
        <w:rPr>
          <w:sz w:val="3"/>
        </w:rPr>
      </w:pPr>
    </w:p>
    <w:p w:rsidR="001F4AEE" w14:paraId="0E4991E8" w14:textId="77777777">
      <w:pPr>
        <w:pStyle w:val="TechnicalBookmark"/>
        <w:rPr>
          <w:lang w:val="fr-FR"/>
        </w:rPr>
      </w:pPr>
      <w:r>
        <w:rPr>
          <w:lang w:val="fr-FR"/>
        </w:rPr>
        <w:fldChar w:fldCharType="begin"/>
      </w:r>
      <w:r>
        <w:rPr>
          <w:lang w:val="fr-FR"/>
        </w:rPr>
        <w:instrText xml:space="preserve"> SET 36ED7B614CEBD141AF00F8170B651DFC "" </w:instrText>
      </w:r>
      <w:r>
        <w:rPr>
          <w:lang w:val="fr-FR"/>
        </w:rPr>
        <w:fldChar w:fldCharType="separate"/>
      </w:r>
      <w:bookmarkStart w:id="90" w:name="36ED7B614CEBD141AF00F8170B651DFC"/>
      <w:bookmarkEnd w:id="90"/>
      <w:r>
        <w:rPr>
          <w:lang w:val="fr-FR"/>
        </w:rPr>
        <w:fldChar w:fldCharType="end"/>
      </w:r>
    </w:p>
    <w:p w:rsidR="001F4AEE" w14:paraId="376F2D73" w14:textId="77777777">
      <w:pPr>
        <w:pStyle w:val="H2"/>
        <w:rPr>
          <w:lang w:val="fr-FR"/>
        </w:rPr>
      </w:pPr>
      <w:r>
        <w:rPr>
          <w:lang w:val="fr-FR"/>
        </w:rPr>
        <w:t xml:space="preserve">Inventaire des éléments de bilan </w:t>
      </w:r>
    </w:p>
    <w:p w:rsidR="001F4AEE" w14:paraId="3F2F6926" w14:textId="77777777">
      <w:pPr>
        <w:pStyle w:val="NoRefToc"/>
        <w:rPr>
          <w:lang w:val="fr-FR"/>
        </w:rPr>
      </w:pPr>
    </w:p>
    <w:p w:rsidR="001F4AEE" w14:paraId="18E19E84" w14:textId="77777777">
      <w:pPr>
        <w:pStyle w:val="TechnicalBookmark"/>
        <w:rPr>
          <w:lang w:val="fr-FR"/>
        </w:rPr>
      </w:pPr>
      <w:r>
        <w:rPr>
          <w:lang w:val="fr-FR"/>
        </w:rPr>
        <w:fldChar w:fldCharType="begin"/>
      </w:r>
      <w:r>
        <w:rPr>
          <w:lang w:val="fr-FR"/>
        </w:rPr>
        <w:instrText xml:space="preserve"> SET 20E6B9052A93486C249C00AFFEBE4241 "" </w:instrText>
      </w:r>
      <w:r>
        <w:rPr>
          <w:lang w:val="fr-FR"/>
        </w:rPr>
        <w:fldChar w:fldCharType="separate"/>
      </w:r>
      <w:bookmarkStart w:id="91" w:name="20E6B9052A93486C249C00AFFEBE4241"/>
      <w:bookmarkEnd w:id="91"/>
      <w:r>
        <w:rPr>
          <w:lang w:val="fr-FR"/>
        </w:rPr>
        <w:fldChar w:fldCharType="end"/>
      </w:r>
    </w:p>
    <w:p w:rsidR="001F4AEE" w14:paraId="228ADAEA"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3F434231"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43FCF5E2"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A71C5C1"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9BC511B" w14:textId="77777777">
            <w:pPr>
              <w:pStyle w:val="EnteteTabMiddleColBordure"/>
              <w:spacing w:line="184" w:lineRule="exact"/>
              <w:rPr>
                <w:lang w:val="fr-FR"/>
              </w:rPr>
            </w:pPr>
            <w:r>
              <w:rPr>
                <w:lang w:val="fr-FR"/>
              </w:rPr>
              <w:t>Quantité ou</w:t>
            </w:r>
          </w:p>
          <w:p w:rsidR="001F4AEE" w14:paraId="28806A67"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617EB2FA"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54A51E8D" w14:textId="77777777">
            <w:pPr>
              <w:pStyle w:val="EnteteTabLastColBordure"/>
              <w:spacing w:line="184" w:lineRule="exact"/>
              <w:rPr>
                <w:lang w:val="fr-FR"/>
              </w:rPr>
            </w:pPr>
            <w:r>
              <w:rPr>
                <w:lang w:val="fr-FR"/>
              </w:rPr>
              <w:t>% Actif</w:t>
            </w:r>
          </w:p>
          <w:p w:rsidR="001F4AEE" w14:paraId="5D91D91E" w14:textId="77777777">
            <w:pPr>
              <w:pStyle w:val="EnteteTabLastColBordure"/>
              <w:spacing w:line="184" w:lineRule="exact"/>
              <w:rPr>
                <w:lang w:val="fr-FR"/>
              </w:rPr>
            </w:pPr>
            <w:r>
              <w:rPr>
                <w:lang w:val="fr-FR"/>
              </w:rPr>
              <w:t>Net</w:t>
            </w:r>
          </w:p>
        </w:tc>
      </w:tr>
      <w:tr w14:paraId="0EDDF9D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24F3A07" w14:textId="77777777">
            <w:pPr>
              <w:pStyle w:val="Tab1FirstColGras"/>
              <w:rPr>
                <w:lang w:val="fr-FR"/>
              </w:rPr>
            </w:pPr>
            <w:r>
              <w:rPr>
                <w:lang w:val="fr-FR"/>
              </w:rPr>
              <w:t>Equipements et produits de loisirs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0471EB6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21614FA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2D395CBC" w14:textId="77777777">
            <w:pPr>
              <w:pStyle w:val="Tab1MiddleColGras"/>
              <w:rPr>
                <w:lang w:val="fr-FR"/>
              </w:rPr>
            </w:pPr>
            <w:r>
              <w:rPr>
                <w:lang w:val="fr-FR"/>
              </w:rPr>
              <w:t>295 608,43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CA77270" w14:textId="77777777">
            <w:pPr>
              <w:pStyle w:val="Tab1LastColGras"/>
              <w:rPr>
                <w:lang w:val="fr-FR"/>
              </w:rPr>
            </w:pPr>
            <w:r>
              <w:rPr>
                <w:lang w:val="fr-FR"/>
              </w:rPr>
              <w:t>0,08</w:t>
            </w:r>
          </w:p>
        </w:tc>
      </w:tr>
      <w:tr w14:paraId="68A40AF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4C7A8EA" w14:textId="77777777">
            <w:pPr>
              <w:pStyle w:val="Tab3FirstColNonGras"/>
              <w:rPr>
                <w:lang w:val="fr-FR"/>
              </w:rPr>
            </w:pPr>
            <w:r>
              <w:rPr>
                <w:lang w:val="fr-FR"/>
              </w:rPr>
              <w:t>BANDAI NAMCO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AA80F19"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C57EFC0" w14:textId="77777777">
            <w:pPr>
              <w:pStyle w:val="Tab3MiddleColNonGras"/>
              <w:rPr>
                <w:lang w:val="fr-FR"/>
              </w:rPr>
            </w:pPr>
            <w:r>
              <w:rPr>
                <w:lang w:val="fr-FR"/>
              </w:rPr>
              <w:t>1 400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4955F09" w14:textId="77777777">
            <w:pPr>
              <w:pStyle w:val="Tab3MiddleColNonGras"/>
              <w:rPr>
                <w:lang w:val="fr-FR"/>
              </w:rPr>
            </w:pPr>
            <w:r>
              <w:rPr>
                <w:lang w:val="fr-FR"/>
              </w:rPr>
              <w:t>50 118,73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16B9E49" w14:textId="77777777">
            <w:pPr>
              <w:pStyle w:val="Tab3LastColNonGras"/>
              <w:rPr>
                <w:lang w:val="fr-FR"/>
              </w:rPr>
            </w:pPr>
            <w:r>
              <w:rPr>
                <w:lang w:val="fr-FR"/>
              </w:rPr>
              <w:t>0,01</w:t>
            </w:r>
          </w:p>
        </w:tc>
      </w:tr>
      <w:tr w14:paraId="5818948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845ABA0" w14:textId="77777777">
            <w:pPr>
              <w:pStyle w:val="Tab3FirstColNonGras"/>
              <w:rPr>
                <w:lang w:val="fr-FR"/>
              </w:rPr>
            </w:pPr>
            <w:r>
              <w:rPr>
                <w:lang w:val="fr-FR"/>
              </w:rPr>
              <w:t>POOL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3D609A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53DB85D" w14:textId="77777777">
            <w:pPr>
              <w:pStyle w:val="Tab3MiddleColNonGras"/>
              <w:rPr>
                <w:lang w:val="fr-FR"/>
              </w:rPr>
            </w:pPr>
            <w:r>
              <w:rPr>
                <w:lang w:val="fr-FR"/>
              </w:rPr>
              <w:t>445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BD6C06C" w14:textId="77777777">
            <w:pPr>
              <w:pStyle w:val="Tab3MiddleColNonGras"/>
              <w:rPr>
                <w:lang w:val="fr-FR"/>
              </w:rPr>
            </w:pPr>
            <w:r>
              <w:rPr>
                <w:lang w:val="fr-FR"/>
              </w:rPr>
              <w:t>129 708,60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8A0B3A5" w14:textId="77777777">
            <w:pPr>
              <w:pStyle w:val="Tab3LastColNonGras"/>
              <w:rPr>
                <w:lang w:val="fr-FR"/>
              </w:rPr>
            </w:pPr>
            <w:r>
              <w:rPr>
                <w:lang w:val="fr-FR"/>
              </w:rPr>
              <w:t>0,04</w:t>
            </w:r>
          </w:p>
        </w:tc>
      </w:tr>
      <w:tr w14:paraId="262A58F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2082710" w14:textId="77777777">
            <w:pPr>
              <w:pStyle w:val="Tab3FirstColNonGras"/>
              <w:rPr>
                <w:lang w:val="fr-FR"/>
              </w:rPr>
            </w:pPr>
            <w:r>
              <w:rPr>
                <w:lang w:val="fr-FR"/>
              </w:rPr>
              <w:t>SHIMANO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DCF66FB"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8AE80AE" w14:textId="77777777">
            <w:pPr>
              <w:pStyle w:val="Tab3MiddleColNonGras"/>
              <w:rPr>
                <w:lang w:val="fr-FR"/>
              </w:rPr>
            </w:pPr>
            <w:r>
              <w:rPr>
                <w:lang w:val="fr-FR"/>
              </w:rPr>
              <w:t>800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98B505A" w14:textId="77777777">
            <w:pPr>
              <w:pStyle w:val="Tab3MiddleColNonGras"/>
              <w:rPr>
                <w:lang w:val="fr-FR"/>
              </w:rPr>
            </w:pPr>
            <w:r>
              <w:rPr>
                <w:lang w:val="fr-FR"/>
              </w:rPr>
              <w:t>115 781,10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0966EEE" w14:textId="77777777">
            <w:pPr>
              <w:pStyle w:val="Tab3LastColNonGras"/>
              <w:rPr>
                <w:lang w:val="fr-FR"/>
              </w:rPr>
            </w:pPr>
            <w:r>
              <w:rPr>
                <w:lang w:val="fr-FR"/>
              </w:rPr>
              <w:t>0,03</w:t>
            </w:r>
          </w:p>
        </w:tc>
      </w:tr>
      <w:tr w14:paraId="14145FF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41A38732" w14:textId="77777777">
            <w:pPr>
              <w:pStyle w:val="Tab1FirstColGras"/>
              <w:rPr>
                <w:lang w:val="fr-FR"/>
              </w:rPr>
            </w:pPr>
            <w:r>
              <w:rPr>
                <w:lang w:val="fr-FR"/>
              </w:rPr>
              <w:t>FPI Bureautiques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3986667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741698F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21F7D1A4" w14:textId="77777777">
            <w:pPr>
              <w:pStyle w:val="Tab1MiddleColGras"/>
              <w:rPr>
                <w:lang w:val="fr-FR"/>
              </w:rPr>
            </w:pPr>
            <w:r>
              <w:rPr>
                <w:lang w:val="fr-FR"/>
              </w:rPr>
              <w:t>362 473,28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B324F2E" w14:textId="77777777">
            <w:pPr>
              <w:pStyle w:val="Tab1LastColGras"/>
              <w:rPr>
                <w:lang w:val="fr-FR"/>
              </w:rPr>
            </w:pPr>
            <w:r>
              <w:rPr>
                <w:lang w:val="fr-FR"/>
              </w:rPr>
              <w:t>0,10</w:t>
            </w:r>
          </w:p>
        </w:tc>
      </w:tr>
      <w:tr w14:paraId="1128550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CB17E49" w14:textId="77777777">
            <w:pPr>
              <w:pStyle w:val="Tab3FirstColNonGras"/>
              <w:rPr>
                <w:lang w:val="fr-FR"/>
              </w:rPr>
            </w:pPr>
            <w:r>
              <w:rPr>
                <w:lang w:val="fr-FR"/>
              </w:rPr>
              <w:t>ALEXANDRIA REAL ESTATE EQUIT</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046994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F72FBDA" w14:textId="77777777">
            <w:pPr>
              <w:pStyle w:val="Tab3MiddleColNonGras"/>
              <w:rPr>
                <w:lang w:val="fr-FR"/>
              </w:rPr>
            </w:pPr>
            <w:r>
              <w:rPr>
                <w:lang w:val="fr-FR"/>
              </w:rPr>
              <w:t>1 728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934C9EA" w14:textId="77777777">
            <w:pPr>
              <w:pStyle w:val="Tab3MiddleColNonGras"/>
              <w:rPr>
                <w:lang w:val="fr-FR"/>
              </w:rPr>
            </w:pPr>
            <w:r>
              <w:rPr>
                <w:lang w:val="fr-FR"/>
              </w:rPr>
              <w:t>125 504,64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932E92D" w14:textId="77777777">
            <w:pPr>
              <w:pStyle w:val="Tab3LastColNonGras"/>
              <w:rPr>
                <w:lang w:val="fr-FR"/>
              </w:rPr>
            </w:pPr>
            <w:r>
              <w:rPr>
                <w:lang w:val="fr-FR"/>
              </w:rPr>
              <w:t>0,03</w:t>
            </w:r>
          </w:p>
        </w:tc>
      </w:tr>
      <w:tr w14:paraId="782EB3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35242FC" w14:textId="77777777">
            <w:pPr>
              <w:pStyle w:val="Tab3FirstColNonGras"/>
              <w:rPr>
                <w:lang w:val="fr-FR"/>
              </w:rPr>
            </w:pPr>
            <w:r>
              <w:rPr>
                <w:lang w:val="fr-FR"/>
              </w:rPr>
              <w:t>BXP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5E090C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31F8E04" w14:textId="77777777">
            <w:pPr>
              <w:pStyle w:val="Tab3MiddleColNonGras"/>
              <w:rPr>
                <w:lang w:val="fr-FR"/>
              </w:rPr>
            </w:pPr>
            <w:r>
              <w:rPr>
                <w:lang w:val="fr-FR"/>
              </w:rPr>
              <w:t>1 634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C981A3A" w14:textId="77777777">
            <w:pPr>
              <w:pStyle w:val="Tab3MiddleColNonGras"/>
              <w:rPr>
                <w:lang w:val="fr-FR"/>
              </w:rPr>
            </w:pPr>
            <w:r>
              <w:rPr>
                <w:lang w:val="fr-FR"/>
              </w:rPr>
              <w:t>110 245,98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232F6B2" w14:textId="77777777">
            <w:pPr>
              <w:pStyle w:val="Tab3LastColNonGras"/>
              <w:rPr>
                <w:lang w:val="fr-FR"/>
              </w:rPr>
            </w:pPr>
            <w:r>
              <w:rPr>
                <w:lang w:val="fr-FR"/>
              </w:rPr>
              <w:t>0,03</w:t>
            </w:r>
          </w:p>
        </w:tc>
      </w:tr>
      <w:tr w14:paraId="2D18E08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297CFE5" w14:textId="77777777">
            <w:pPr>
              <w:pStyle w:val="Tab3FirstColNonGras"/>
              <w:rPr>
                <w:lang w:val="fr-FR"/>
              </w:rPr>
            </w:pPr>
            <w:r>
              <w:rPr>
                <w:lang w:val="fr-FR"/>
              </w:rPr>
              <w:t>GECINA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50F4A6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6A60C76" w14:textId="77777777">
            <w:pPr>
              <w:pStyle w:val="Tab3MiddleColNonGras"/>
              <w:rPr>
                <w:lang w:val="fr-FR"/>
              </w:rPr>
            </w:pPr>
            <w:r>
              <w:rPr>
                <w:lang w:val="fr-FR"/>
              </w:rPr>
              <w:t>527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B38E9CE" w14:textId="77777777">
            <w:pPr>
              <w:pStyle w:val="Tab3MiddleColNonGras"/>
              <w:rPr>
                <w:lang w:val="fr-FR"/>
              </w:rPr>
            </w:pPr>
            <w:r>
              <w:rPr>
                <w:lang w:val="fr-FR"/>
              </w:rPr>
              <w:t>57 717,15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16E3CA1" w14:textId="77777777">
            <w:pPr>
              <w:pStyle w:val="Tab3LastColNonGras"/>
              <w:rPr>
                <w:lang w:val="fr-FR"/>
              </w:rPr>
            </w:pPr>
            <w:r>
              <w:rPr>
                <w:lang w:val="fr-FR"/>
              </w:rPr>
              <w:t>0,02</w:t>
            </w:r>
          </w:p>
        </w:tc>
      </w:tr>
      <w:tr w14:paraId="3CCB9F6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E6B6900" w14:textId="77777777">
            <w:pPr>
              <w:pStyle w:val="Tab3FirstColNonGras"/>
              <w:rPr>
                <w:lang w:val="fr-FR"/>
              </w:rPr>
            </w:pPr>
            <w:r>
              <w:rPr>
                <w:lang w:val="fr-FR"/>
              </w:rPr>
              <w:t>NIPPON BUILDING FUND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9A7EE6D"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A72CC19" w14:textId="77777777">
            <w:pPr>
              <w:pStyle w:val="Tab3MiddleColNonGras"/>
              <w:rPr>
                <w:lang w:val="fr-FR"/>
              </w:rPr>
            </w:pPr>
            <w:r>
              <w:rPr>
                <w:lang w:val="fr-FR"/>
              </w:rPr>
              <w:t>75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10CC8A0" w14:textId="77777777">
            <w:pPr>
              <w:pStyle w:val="Tab3MiddleColNonGras"/>
              <w:rPr>
                <w:lang w:val="fr-FR"/>
              </w:rPr>
            </w:pPr>
            <w:r>
              <w:rPr>
                <w:lang w:val="fr-FR"/>
              </w:rPr>
              <w:t>69 005,51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2799164" w14:textId="77777777">
            <w:pPr>
              <w:pStyle w:val="Tab3LastColNonGras"/>
              <w:rPr>
                <w:lang w:val="fr-FR"/>
              </w:rPr>
            </w:pPr>
            <w:r>
              <w:rPr>
                <w:lang w:val="fr-FR"/>
              </w:rPr>
              <w:t>0,02</w:t>
            </w:r>
          </w:p>
        </w:tc>
      </w:tr>
      <w:tr w14:paraId="0F72370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6AAF8989" w14:textId="77777777">
            <w:pPr>
              <w:pStyle w:val="Tab1FirstColGras"/>
              <w:rPr>
                <w:lang w:val="fr-FR"/>
              </w:rPr>
            </w:pPr>
            <w:r>
              <w:rPr>
                <w:lang w:val="fr-FR"/>
              </w:rPr>
              <w:t>FPI de détail</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6B3C396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00737FE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69FDDBFD" w14:textId="77777777">
            <w:pPr>
              <w:pStyle w:val="Tab1MiddleColGras"/>
              <w:rPr>
                <w:lang w:val="fr-FR"/>
              </w:rPr>
            </w:pPr>
            <w:r>
              <w:rPr>
                <w:lang w:val="fr-FR"/>
              </w:rPr>
              <w:t>1 256 647,64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AED5F6A" w14:textId="77777777">
            <w:pPr>
              <w:pStyle w:val="Tab1LastColGras"/>
              <w:rPr>
                <w:lang w:val="fr-FR"/>
              </w:rPr>
            </w:pPr>
            <w:r>
              <w:rPr>
                <w:lang w:val="fr-FR"/>
              </w:rPr>
              <w:t>0,36</w:t>
            </w:r>
          </w:p>
        </w:tc>
      </w:tr>
      <w:tr w14:paraId="66F7A0A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BB5F95C" w14:textId="77777777">
            <w:pPr>
              <w:pStyle w:val="Tab3FirstColNonGras"/>
              <w:rPr>
                <w:lang w:val="fr-FR"/>
              </w:rPr>
            </w:pPr>
            <w:r>
              <w:rPr>
                <w:lang w:val="fr-FR"/>
              </w:rPr>
              <w:t>KIMCO REALTY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F2C14E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92A39D5" w14:textId="77777777">
            <w:pPr>
              <w:pStyle w:val="Tab3MiddleColNonGras"/>
              <w:rPr>
                <w:lang w:val="fr-FR"/>
              </w:rPr>
            </w:pPr>
            <w:r>
              <w:rPr>
                <w:lang w:val="fr-FR"/>
              </w:rPr>
              <w:t>7 835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3F97379" w14:textId="77777777">
            <w:pPr>
              <w:pStyle w:val="Tab3MiddleColNonGras"/>
              <w:rPr>
                <w:lang w:val="fr-FR"/>
              </w:rPr>
            </w:pPr>
            <w:r>
              <w:rPr>
                <w:lang w:val="fr-FR"/>
              </w:rPr>
              <w:t>164 691,70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3CFD3A7" w14:textId="77777777">
            <w:pPr>
              <w:pStyle w:val="Tab3LastColNonGras"/>
              <w:rPr>
                <w:lang w:val="fr-FR"/>
              </w:rPr>
            </w:pPr>
            <w:r>
              <w:rPr>
                <w:lang w:val="fr-FR"/>
              </w:rPr>
              <w:t>0,05</w:t>
            </w:r>
          </w:p>
        </w:tc>
      </w:tr>
      <w:tr w14:paraId="61DF17D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4DC2C72" w14:textId="77777777">
            <w:pPr>
              <w:pStyle w:val="Tab3FirstColNonGras"/>
              <w:rPr>
                <w:lang w:val="fr-FR"/>
              </w:rPr>
            </w:pPr>
            <w:r>
              <w:rPr>
                <w:lang w:val="fr-FR"/>
              </w:rPr>
              <w:t>KLEPIERRE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DA1E73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72FB545" w14:textId="77777777">
            <w:pPr>
              <w:pStyle w:val="Tab3MiddleColNonGras"/>
              <w:rPr>
                <w:lang w:val="fr-FR"/>
              </w:rPr>
            </w:pPr>
            <w:r>
              <w:rPr>
                <w:lang w:val="fr-FR"/>
              </w:rPr>
              <w:t>2 160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C49E9D0" w14:textId="77777777">
            <w:pPr>
              <w:pStyle w:val="Tab3MiddleColNonGras"/>
              <w:rPr>
                <w:lang w:val="fr-FR"/>
              </w:rPr>
            </w:pPr>
            <w:r>
              <w:rPr>
                <w:lang w:val="fr-FR"/>
              </w:rPr>
              <w:t>84 787,66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A9BB0EC" w14:textId="77777777">
            <w:pPr>
              <w:pStyle w:val="Tab3LastColNonGras"/>
              <w:rPr>
                <w:lang w:val="fr-FR"/>
              </w:rPr>
            </w:pPr>
            <w:r>
              <w:rPr>
                <w:lang w:val="fr-FR"/>
              </w:rPr>
              <w:t>0,02</w:t>
            </w:r>
          </w:p>
        </w:tc>
      </w:tr>
      <w:tr w14:paraId="471EB52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6A25F3C" w14:textId="77777777">
            <w:pPr>
              <w:pStyle w:val="Tab3FirstColNonGras"/>
              <w:rPr>
                <w:lang w:val="fr-FR"/>
              </w:rPr>
            </w:pPr>
            <w:r>
              <w:rPr>
                <w:lang w:val="fr-FR"/>
              </w:rPr>
              <w:t>REALTY INCOME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E2C494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4030EE3" w14:textId="77777777">
            <w:pPr>
              <w:pStyle w:val="Tab3MiddleColNonGras"/>
              <w:rPr>
                <w:lang w:val="fr-FR"/>
              </w:rPr>
            </w:pPr>
            <w:r>
              <w:rPr>
                <w:lang w:val="fr-FR"/>
              </w:rPr>
              <w:t>10 696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45F1738" w14:textId="77777777">
            <w:pPr>
              <w:pStyle w:val="Tab3MiddleColNonGras"/>
              <w:rPr>
                <w:lang w:val="fr-FR"/>
              </w:rPr>
            </w:pPr>
            <w:r>
              <w:rPr>
                <w:lang w:val="fr-FR"/>
              </w:rPr>
              <w:t>616 196,56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F0AA9BE" w14:textId="77777777">
            <w:pPr>
              <w:pStyle w:val="Tab3LastColNonGras"/>
              <w:rPr>
                <w:lang w:val="fr-FR"/>
              </w:rPr>
            </w:pPr>
            <w:r>
              <w:rPr>
                <w:lang w:val="fr-FR"/>
              </w:rPr>
              <w:t>0,18</w:t>
            </w:r>
          </w:p>
        </w:tc>
      </w:tr>
      <w:tr w14:paraId="4C2BCF5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018EF9E" w14:textId="77777777">
            <w:pPr>
              <w:pStyle w:val="Tab3FirstColNonGras"/>
              <w:rPr>
                <w:lang w:val="fr-FR"/>
              </w:rPr>
            </w:pPr>
            <w:r>
              <w:rPr>
                <w:lang w:val="fr-FR"/>
              </w:rPr>
              <w:t>REGENCY CENTERS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7AD2E5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9D7339F" w14:textId="77777777">
            <w:pPr>
              <w:pStyle w:val="Tab3MiddleColNonGras"/>
              <w:rPr>
                <w:lang w:val="fr-FR"/>
              </w:rPr>
            </w:pPr>
            <w:r>
              <w:rPr>
                <w:lang w:val="fr-FR"/>
              </w:rPr>
              <w:t>2 041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FE4197A" w14:textId="77777777">
            <w:pPr>
              <w:pStyle w:val="Tab3MiddleColNonGras"/>
              <w:rPr>
                <w:lang w:val="fr-FR"/>
              </w:rPr>
            </w:pPr>
            <w:r>
              <w:rPr>
                <w:lang w:val="fr-FR"/>
              </w:rPr>
              <w:t>145 380,43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CB2386F" w14:textId="77777777">
            <w:pPr>
              <w:pStyle w:val="Tab3LastColNonGras"/>
              <w:rPr>
                <w:lang w:val="fr-FR"/>
              </w:rPr>
            </w:pPr>
            <w:r>
              <w:rPr>
                <w:lang w:val="fr-FR"/>
              </w:rPr>
              <w:t>0,04</w:t>
            </w:r>
          </w:p>
        </w:tc>
      </w:tr>
      <w:tr w14:paraId="251ED67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7BF2935" w14:textId="77777777">
            <w:pPr>
              <w:pStyle w:val="Tab3FirstColNonGras"/>
              <w:rPr>
                <w:lang w:val="fr-FR"/>
              </w:rPr>
            </w:pPr>
            <w:r>
              <w:rPr>
                <w:lang w:val="fr-FR"/>
              </w:rPr>
              <w:t>SCENTRE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B9CAADA"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4532372" w14:textId="77777777">
            <w:pPr>
              <w:pStyle w:val="Tab3MiddleColNonGras"/>
              <w:rPr>
                <w:lang w:val="fr-FR"/>
              </w:rPr>
            </w:pPr>
            <w:r>
              <w:rPr>
                <w:lang w:val="fr-FR"/>
              </w:rPr>
              <w:t>53 173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483935F" w14:textId="77777777">
            <w:pPr>
              <w:pStyle w:val="Tab3MiddleColNonGras"/>
              <w:rPr>
                <w:lang w:val="fr-FR"/>
              </w:rPr>
            </w:pPr>
            <w:r>
              <w:rPr>
                <w:lang w:val="fr-FR"/>
              </w:rPr>
              <w:t>124 057,15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6B97DE0" w14:textId="77777777">
            <w:pPr>
              <w:pStyle w:val="Tab3LastColNonGras"/>
              <w:rPr>
                <w:lang w:val="fr-FR"/>
              </w:rPr>
            </w:pPr>
            <w:r>
              <w:rPr>
                <w:lang w:val="fr-FR"/>
              </w:rPr>
              <w:t>0,04</w:t>
            </w:r>
          </w:p>
        </w:tc>
      </w:tr>
      <w:tr w14:paraId="5943F64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B164FC6" w14:textId="77777777">
            <w:pPr>
              <w:pStyle w:val="Tab3FirstColNonGras"/>
              <w:rPr>
                <w:lang w:val="fr-FR"/>
              </w:rPr>
            </w:pPr>
            <w:r>
              <w:rPr>
                <w:lang w:val="fr-FR"/>
              </w:rPr>
              <w:t>UNIBAIL-RODAMCO-WESTFIELD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1FF2FC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5D8BEC3" w14:textId="77777777">
            <w:pPr>
              <w:pStyle w:val="Tab3MiddleColNonGras"/>
              <w:rPr>
                <w:lang w:val="fr-FR"/>
              </w:rPr>
            </w:pPr>
            <w:r>
              <w:rPr>
                <w:lang w:val="fr-FR"/>
              </w:rPr>
              <w:t>1 276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71AEDAB" w14:textId="77777777">
            <w:pPr>
              <w:pStyle w:val="Tab3MiddleColNonGras"/>
              <w:rPr>
                <w:lang w:val="fr-FR"/>
              </w:rPr>
            </w:pPr>
            <w:r>
              <w:rPr>
                <w:lang w:val="fr-FR"/>
              </w:rPr>
              <w:t>121 534,14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F1CA71E" w14:textId="77777777">
            <w:pPr>
              <w:pStyle w:val="Tab3LastColNonGras"/>
              <w:rPr>
                <w:lang w:val="fr-FR"/>
              </w:rPr>
            </w:pPr>
            <w:r>
              <w:rPr>
                <w:lang w:val="fr-FR"/>
              </w:rPr>
              <w:t>0,03</w:t>
            </w:r>
          </w:p>
        </w:tc>
      </w:tr>
      <w:tr w14:paraId="291AD9E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F4AD29D" w14:textId="77777777">
            <w:pPr>
              <w:pStyle w:val="Tab1FirstColGras"/>
              <w:rPr>
                <w:lang w:val="fr-FR"/>
              </w:rPr>
            </w:pPr>
            <w:r>
              <w:rPr>
                <w:lang w:val="fr-FR"/>
              </w:rPr>
              <w:t>FPI Industrielles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147E90F4"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568B91C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4364F894" w14:textId="77777777">
            <w:pPr>
              <w:pStyle w:val="Tab1MiddleColGras"/>
              <w:rPr>
                <w:lang w:val="fr-FR"/>
              </w:rPr>
            </w:pPr>
            <w:r>
              <w:rPr>
                <w:lang w:val="fr-FR"/>
              </w:rPr>
              <w:t>1 863 148,20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3A12BD2" w14:textId="77777777">
            <w:pPr>
              <w:pStyle w:val="Tab1LastColGras"/>
              <w:rPr>
                <w:lang w:val="fr-FR"/>
              </w:rPr>
            </w:pPr>
            <w:r>
              <w:rPr>
                <w:lang w:val="fr-FR"/>
              </w:rPr>
              <w:t>0,54</w:t>
            </w:r>
          </w:p>
        </w:tc>
      </w:tr>
      <w:tr w14:paraId="1A66947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62638C1" w14:textId="77777777">
            <w:pPr>
              <w:pStyle w:val="Tab3FirstColNonGras"/>
              <w:rPr>
                <w:lang w:val="fr-FR"/>
              </w:rPr>
            </w:pPr>
            <w:r>
              <w:rPr>
                <w:lang w:val="fr-FR"/>
              </w:rPr>
              <w:t>GOODMAN GRP UNIT</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35C02AF"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BDF9A62" w14:textId="77777777">
            <w:pPr>
              <w:pStyle w:val="Tab3MiddleColNonGras"/>
              <w:rPr>
                <w:lang w:val="fr-FR"/>
              </w:rPr>
            </w:pPr>
            <w:r>
              <w:rPr>
                <w:lang w:val="fr-FR"/>
              </w:rPr>
              <w:t>24 264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C32A540" w14:textId="77777777">
            <w:pPr>
              <w:pStyle w:val="Tab3MiddleColNonGras"/>
              <w:rPr>
                <w:lang w:val="fr-FR"/>
              </w:rPr>
            </w:pPr>
            <w:r>
              <w:rPr>
                <w:lang w:val="fr-FR"/>
              </w:rPr>
              <w:t>544 473,57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DFA67A2" w14:textId="77777777">
            <w:pPr>
              <w:pStyle w:val="Tab3LastColNonGras"/>
              <w:rPr>
                <w:lang w:val="fr-FR"/>
              </w:rPr>
            </w:pPr>
            <w:r>
              <w:rPr>
                <w:lang w:val="fr-FR"/>
              </w:rPr>
              <w:t>0,16</w:t>
            </w:r>
          </w:p>
        </w:tc>
      </w:tr>
      <w:tr w14:paraId="775FEF0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C5A27D7" w14:textId="77777777">
            <w:pPr>
              <w:pStyle w:val="Tab3FirstColNonGras"/>
              <w:rPr>
                <w:lang w:val="fr-FR"/>
              </w:rPr>
            </w:pPr>
            <w:r>
              <w:rPr>
                <w:lang w:val="fr-FR"/>
              </w:rPr>
              <w:t>PROLOGIS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9B74D0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813E5EE" w14:textId="77777777">
            <w:pPr>
              <w:pStyle w:val="Tab3MiddleColNonGras"/>
              <w:rPr>
                <w:lang w:val="fr-FR"/>
              </w:rPr>
            </w:pPr>
            <w:r>
              <w:rPr>
                <w:lang w:val="fr-FR"/>
              </w:rPr>
              <w:t>11 185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E68BF1D" w14:textId="77777777">
            <w:pPr>
              <w:pStyle w:val="Tab3MiddleColNonGras"/>
              <w:rPr>
                <w:lang w:val="fr-FR"/>
              </w:rPr>
            </w:pPr>
            <w:r>
              <w:rPr>
                <w:lang w:val="fr-FR"/>
              </w:rPr>
              <w:t>1 175 767,20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378ABB3" w14:textId="77777777">
            <w:pPr>
              <w:pStyle w:val="Tab3LastColNonGras"/>
              <w:rPr>
                <w:lang w:val="fr-FR"/>
              </w:rPr>
            </w:pPr>
            <w:r>
              <w:rPr>
                <w:lang w:val="fr-FR"/>
              </w:rPr>
              <w:t>0,34</w:t>
            </w:r>
          </w:p>
        </w:tc>
      </w:tr>
      <w:tr w14:paraId="7FD010A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660F8AB" w14:textId="77777777">
            <w:pPr>
              <w:pStyle w:val="Tab3FirstColNonGras"/>
              <w:rPr>
                <w:lang w:val="fr-FR"/>
              </w:rPr>
            </w:pPr>
            <w:r>
              <w:rPr>
                <w:lang w:val="fr-FR"/>
              </w:rPr>
              <w:t>SEGRO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13082FA"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D1D75E7" w14:textId="77777777">
            <w:pPr>
              <w:pStyle w:val="Tab3MiddleColNonGras"/>
              <w:rPr>
                <w:lang w:val="fr-FR"/>
              </w:rPr>
            </w:pPr>
            <w:r>
              <w:rPr>
                <w:lang w:val="fr-FR"/>
              </w:rPr>
              <w:t>15 345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E410AE3" w14:textId="77777777">
            <w:pPr>
              <w:pStyle w:val="Tab3MiddleColNonGras"/>
              <w:rPr>
                <w:lang w:val="fr-FR"/>
              </w:rPr>
            </w:pPr>
            <w:r>
              <w:rPr>
                <w:lang w:val="fr-FR"/>
              </w:rPr>
              <w:t>142 907,43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04B9CED" w14:textId="77777777">
            <w:pPr>
              <w:pStyle w:val="Tab3LastColNonGras"/>
              <w:rPr>
                <w:lang w:val="fr-FR"/>
              </w:rPr>
            </w:pPr>
            <w:r>
              <w:rPr>
                <w:lang w:val="fr-FR"/>
              </w:rPr>
              <w:t>0,04</w:t>
            </w:r>
          </w:p>
        </w:tc>
      </w:tr>
      <w:tr w14:paraId="61849E8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6C1CC238" w14:textId="77777777">
            <w:pPr>
              <w:pStyle w:val="Tab1FirstColGras"/>
              <w:rPr>
                <w:lang w:val="fr-FR"/>
              </w:rPr>
            </w:pPr>
            <w:r>
              <w:rPr>
                <w:lang w:val="fr-FR"/>
              </w:rPr>
              <w:t>FPI résidentielles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2653C47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76A51F9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37BA92B7" w14:textId="77777777">
            <w:pPr>
              <w:pStyle w:val="Tab1MiddleColGras"/>
              <w:rPr>
                <w:lang w:val="fr-FR"/>
              </w:rPr>
            </w:pPr>
            <w:r>
              <w:rPr>
                <w:lang w:val="fr-FR"/>
              </w:rPr>
              <w:t>1 487 964,53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B9B57D1" w14:textId="77777777">
            <w:pPr>
              <w:pStyle w:val="Tab1LastColGras"/>
              <w:rPr>
                <w:lang w:val="fr-FR"/>
              </w:rPr>
            </w:pPr>
            <w:r>
              <w:rPr>
                <w:lang w:val="fr-FR"/>
              </w:rPr>
              <w:t>0,43</w:t>
            </w:r>
          </w:p>
        </w:tc>
      </w:tr>
      <w:tr w14:paraId="58969E7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7C28453" w14:textId="77777777">
            <w:pPr>
              <w:pStyle w:val="Tab3FirstColNonGras"/>
              <w:rPr>
                <w:lang w:val="fr-FR"/>
              </w:rPr>
            </w:pPr>
            <w:r>
              <w:rPr>
                <w:lang w:val="fr-FR"/>
              </w:rPr>
              <w:t>AMERICAN HOMES 4 RENT-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C5B317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186008C" w14:textId="77777777">
            <w:pPr>
              <w:pStyle w:val="Tab3MiddleColNonGras"/>
              <w:rPr>
                <w:lang w:val="fr-FR"/>
              </w:rPr>
            </w:pPr>
            <w:r>
              <w:rPr>
                <w:lang w:val="fr-FR"/>
              </w:rPr>
              <w:t>3 875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CCFAB90" w14:textId="77777777">
            <w:pPr>
              <w:pStyle w:val="Tab3MiddleColNonGras"/>
              <w:rPr>
                <w:lang w:val="fr-FR"/>
              </w:rPr>
            </w:pPr>
            <w:r>
              <w:rPr>
                <w:lang w:val="fr-FR"/>
              </w:rPr>
              <w:t>139 771,25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5F58FB3" w14:textId="77777777">
            <w:pPr>
              <w:pStyle w:val="Tab3LastColNonGras"/>
              <w:rPr>
                <w:lang w:val="fr-FR"/>
              </w:rPr>
            </w:pPr>
            <w:r>
              <w:rPr>
                <w:lang w:val="fr-FR"/>
              </w:rPr>
              <w:t>0,04</w:t>
            </w:r>
          </w:p>
        </w:tc>
      </w:tr>
      <w:tr w14:paraId="0838C1F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5493BC8" w14:textId="77777777">
            <w:pPr>
              <w:pStyle w:val="Tab3FirstColNonGras"/>
              <w:rPr>
                <w:lang w:val="fr-FR"/>
              </w:rPr>
            </w:pPr>
            <w:r>
              <w:rPr>
                <w:lang w:val="fr-FR"/>
              </w:rPr>
              <w:t>AVALONBAY COMMUNITIES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5871C4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B53D716" w14:textId="77777777">
            <w:pPr>
              <w:pStyle w:val="Tab3MiddleColNonGras"/>
              <w:rPr>
                <w:lang w:val="fr-FR"/>
              </w:rPr>
            </w:pPr>
            <w:r>
              <w:rPr>
                <w:lang w:val="fr-FR"/>
              </w:rPr>
              <w:t>1 560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A6F28EE" w14:textId="77777777">
            <w:pPr>
              <w:pStyle w:val="Tab3MiddleColNonGras"/>
              <w:rPr>
                <w:lang w:val="fr-FR"/>
              </w:rPr>
            </w:pPr>
            <w:r>
              <w:rPr>
                <w:lang w:val="fr-FR"/>
              </w:rPr>
              <w:t>317 460,00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582064F" w14:textId="77777777">
            <w:pPr>
              <w:pStyle w:val="Tab3LastColNonGras"/>
              <w:rPr>
                <w:lang w:val="fr-FR"/>
              </w:rPr>
            </w:pPr>
            <w:r>
              <w:rPr>
                <w:lang w:val="fr-FR"/>
              </w:rPr>
              <w:t>0,10</w:t>
            </w:r>
          </w:p>
        </w:tc>
      </w:tr>
      <w:tr w14:paraId="1600E8E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476F715" w14:textId="77777777">
            <w:pPr>
              <w:pStyle w:val="Tab3FirstColNonGras"/>
              <w:rPr>
                <w:lang w:val="fr-FR"/>
              </w:rPr>
            </w:pPr>
            <w:r>
              <w:rPr>
                <w:lang w:val="fr-FR"/>
              </w:rPr>
              <w:t>CAMDEN PROPERTY TRUST</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2F190E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850070A" w14:textId="77777777">
            <w:pPr>
              <w:pStyle w:val="Tab3MiddleColNonGras"/>
              <w:rPr>
                <w:lang w:val="fr-FR"/>
              </w:rPr>
            </w:pPr>
            <w:r>
              <w:rPr>
                <w:lang w:val="fr-FR"/>
              </w:rPr>
              <w:t>1 279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12AFBC6" w14:textId="77777777">
            <w:pPr>
              <w:pStyle w:val="Tab3MiddleColNonGras"/>
              <w:rPr>
                <w:lang w:val="fr-FR"/>
              </w:rPr>
            </w:pPr>
            <w:r>
              <w:rPr>
                <w:lang w:val="fr-FR"/>
              </w:rPr>
              <w:t>144 130,51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909BF69" w14:textId="77777777">
            <w:pPr>
              <w:pStyle w:val="Tab3LastColNonGras"/>
              <w:rPr>
                <w:lang w:val="fr-FR"/>
              </w:rPr>
            </w:pPr>
            <w:r>
              <w:rPr>
                <w:lang w:val="fr-FR"/>
              </w:rPr>
              <w:t>0,04</w:t>
            </w:r>
          </w:p>
        </w:tc>
      </w:tr>
      <w:tr w14:paraId="68B6B7A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BF2A906" w14:textId="77777777">
            <w:pPr>
              <w:pStyle w:val="Tab3FirstColNonGras"/>
              <w:rPr>
                <w:lang w:val="fr-FR"/>
              </w:rPr>
            </w:pPr>
            <w:r>
              <w:rPr>
                <w:lang w:val="fr-FR"/>
              </w:rPr>
              <w:t>EQUITY LIFESTYLE PROPERTIES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74B283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9539CED" w14:textId="77777777">
            <w:pPr>
              <w:pStyle w:val="Tab3MiddleColNonGras"/>
              <w:rPr>
                <w:lang w:val="fr-FR"/>
              </w:rPr>
            </w:pPr>
            <w:r>
              <w:rPr>
                <w:lang w:val="fr-FR"/>
              </w:rPr>
              <w:t>1 939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7B8181A" w14:textId="77777777">
            <w:pPr>
              <w:pStyle w:val="Tab3MiddleColNonGras"/>
              <w:rPr>
                <w:lang w:val="fr-FR"/>
              </w:rPr>
            </w:pPr>
            <w:r>
              <w:rPr>
                <w:lang w:val="fr-FR"/>
              </w:rPr>
              <w:t>119 578,13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C81556A" w14:textId="77777777">
            <w:pPr>
              <w:pStyle w:val="Tab3LastColNonGras"/>
              <w:rPr>
                <w:lang w:val="fr-FR"/>
              </w:rPr>
            </w:pPr>
            <w:r>
              <w:rPr>
                <w:lang w:val="fr-FR"/>
              </w:rPr>
              <w:t>0,03</w:t>
            </w:r>
          </w:p>
        </w:tc>
      </w:tr>
      <w:tr w14:paraId="3236EBE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4B0239C" w14:textId="77777777">
            <w:pPr>
              <w:pStyle w:val="Tab3FirstColNonGras"/>
              <w:rPr>
                <w:lang w:val="fr-FR"/>
              </w:rPr>
            </w:pPr>
            <w:r>
              <w:rPr>
                <w:lang w:val="fr-FR"/>
              </w:rPr>
              <w:t>EQUITY RESIDENTIAL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452FC6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EA8CD82" w14:textId="77777777">
            <w:pPr>
              <w:pStyle w:val="Tab3MiddleColNonGras"/>
              <w:rPr>
                <w:lang w:val="fr-FR"/>
              </w:rPr>
            </w:pPr>
            <w:r>
              <w:rPr>
                <w:lang w:val="fr-FR"/>
              </w:rPr>
              <w:t>3 959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CE0DDE0" w14:textId="77777777">
            <w:pPr>
              <w:pStyle w:val="Tab3MiddleColNonGras"/>
              <w:rPr>
                <w:lang w:val="fr-FR"/>
              </w:rPr>
            </w:pPr>
            <w:r>
              <w:rPr>
                <w:lang w:val="fr-FR"/>
              </w:rPr>
              <w:t>267 192,91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9ACB8B6" w14:textId="77777777">
            <w:pPr>
              <w:pStyle w:val="Tab3LastColNonGras"/>
              <w:rPr>
                <w:lang w:val="fr-FR"/>
              </w:rPr>
            </w:pPr>
            <w:r>
              <w:rPr>
                <w:lang w:val="fr-FR"/>
              </w:rPr>
              <w:t>0,08</w:t>
            </w:r>
          </w:p>
        </w:tc>
      </w:tr>
      <w:tr w14:paraId="13C6FC1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0047880" w14:textId="77777777">
            <w:pPr>
              <w:pStyle w:val="Tab3FirstColNonGras"/>
              <w:rPr>
                <w:lang w:val="fr-FR"/>
              </w:rPr>
            </w:pPr>
            <w:r>
              <w:rPr>
                <w:lang w:val="fr-FR"/>
              </w:rPr>
              <w:t>ESSEX PROPERTY TRUST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68F84D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AE80ABF" w14:textId="77777777">
            <w:pPr>
              <w:pStyle w:val="Tab3MiddleColNonGras"/>
              <w:rPr>
                <w:lang w:val="fr-FR"/>
              </w:rPr>
            </w:pPr>
            <w:r>
              <w:rPr>
                <w:lang w:val="fr-FR"/>
              </w:rPr>
              <w:t>663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2F0EC2D" w14:textId="77777777">
            <w:pPr>
              <w:pStyle w:val="Tab3MiddleColNonGras"/>
              <w:rPr>
                <w:lang w:val="fr-FR"/>
              </w:rPr>
            </w:pPr>
            <w:r>
              <w:rPr>
                <w:lang w:val="fr-FR"/>
              </w:rPr>
              <w:t>187 894,20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FA122F5" w14:textId="77777777">
            <w:pPr>
              <w:pStyle w:val="Tab3LastColNonGras"/>
              <w:rPr>
                <w:lang w:val="fr-FR"/>
              </w:rPr>
            </w:pPr>
            <w:r>
              <w:rPr>
                <w:lang w:val="fr-FR"/>
              </w:rPr>
              <w:t>0,05</w:t>
            </w:r>
          </w:p>
        </w:tc>
      </w:tr>
      <w:tr w14:paraId="428E572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3C16B66" w14:textId="77777777">
            <w:pPr>
              <w:pStyle w:val="Tab3FirstColNonGras"/>
              <w:rPr>
                <w:lang w:val="fr-FR"/>
              </w:rPr>
            </w:pPr>
            <w:r>
              <w:rPr>
                <w:lang w:val="fr-FR"/>
              </w:rPr>
              <w:t>MID-AMERICA APARTMENT COMM</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E42039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5919CE5" w14:textId="77777777">
            <w:pPr>
              <w:pStyle w:val="Tab3MiddleColNonGras"/>
              <w:rPr>
                <w:lang w:val="fr-FR"/>
              </w:rPr>
            </w:pPr>
            <w:r>
              <w:rPr>
                <w:lang w:val="fr-FR"/>
              </w:rPr>
              <w:t>1 147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E3C9E29" w14:textId="77777777">
            <w:pPr>
              <w:pStyle w:val="Tab3MiddleColNonGras"/>
              <w:rPr>
                <w:lang w:val="fr-FR"/>
              </w:rPr>
            </w:pPr>
            <w:r>
              <w:rPr>
                <w:lang w:val="fr-FR"/>
              </w:rPr>
              <w:t>169 767,47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68C61BD" w14:textId="77777777">
            <w:pPr>
              <w:pStyle w:val="Tab3LastColNonGras"/>
              <w:rPr>
                <w:lang w:val="fr-FR"/>
              </w:rPr>
            </w:pPr>
            <w:r>
              <w:rPr>
                <w:lang w:val="fr-FR"/>
              </w:rPr>
              <w:t>0,05</w:t>
            </w:r>
          </w:p>
        </w:tc>
      </w:tr>
      <w:tr w14:paraId="66176FE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9B1E4DB" w14:textId="77777777">
            <w:pPr>
              <w:pStyle w:val="Tab3FirstColNonGras"/>
              <w:rPr>
                <w:lang w:val="fr-FR"/>
              </w:rPr>
            </w:pPr>
            <w:r>
              <w:rPr>
                <w:lang w:val="fr-FR"/>
              </w:rPr>
              <w:t>UDR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8A58B2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1D8896C" w14:textId="77777777">
            <w:pPr>
              <w:pStyle w:val="Tab3MiddleColNonGras"/>
              <w:rPr>
                <w:lang w:val="fr-FR"/>
              </w:rPr>
            </w:pPr>
            <w:r>
              <w:rPr>
                <w:lang w:val="fr-FR"/>
              </w:rPr>
              <w:t>3 482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B1CD2CB" w14:textId="77777777">
            <w:pPr>
              <w:pStyle w:val="Tab3MiddleColNonGras"/>
              <w:rPr>
                <w:lang w:val="fr-FR"/>
              </w:rPr>
            </w:pPr>
            <w:r>
              <w:rPr>
                <w:lang w:val="fr-FR"/>
              </w:rPr>
              <w:t>142 170,06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BCF986C" w14:textId="77777777">
            <w:pPr>
              <w:pStyle w:val="Tab3LastColNonGras"/>
              <w:rPr>
                <w:lang w:val="fr-FR"/>
              </w:rPr>
            </w:pPr>
            <w:r>
              <w:rPr>
                <w:lang w:val="fr-FR"/>
              </w:rPr>
              <w:t>0,04</w:t>
            </w:r>
          </w:p>
        </w:tc>
      </w:tr>
      <w:tr w14:paraId="797FF3B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2C2CD6BF" w14:textId="77777777">
            <w:pPr>
              <w:pStyle w:val="Tab1FirstColGras"/>
              <w:rPr>
                <w:lang w:val="fr-FR"/>
              </w:rPr>
            </w:pPr>
            <w:r>
              <w:rPr>
                <w:lang w:val="fr-FR"/>
              </w:rPr>
              <w:t>FPI Soins de Santé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4F37317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37127B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770CE1D4" w14:textId="77777777">
            <w:pPr>
              <w:pStyle w:val="Tab1MiddleColGras"/>
              <w:rPr>
                <w:lang w:val="fr-FR"/>
              </w:rPr>
            </w:pPr>
            <w:r>
              <w:rPr>
                <w:lang w:val="fr-FR"/>
              </w:rPr>
              <w:t>300 846,60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440801F" w14:textId="77777777">
            <w:pPr>
              <w:pStyle w:val="Tab1LastColGras"/>
              <w:rPr>
                <w:lang w:val="fr-FR"/>
              </w:rPr>
            </w:pPr>
            <w:r>
              <w:rPr>
                <w:lang w:val="fr-FR"/>
              </w:rPr>
              <w:t>0,09</w:t>
            </w:r>
          </w:p>
        </w:tc>
      </w:tr>
      <w:tr w14:paraId="4209A9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CB56DC6" w14:textId="77777777">
            <w:pPr>
              <w:pStyle w:val="Tab3FirstColNonGras"/>
              <w:rPr>
                <w:lang w:val="fr-FR"/>
              </w:rPr>
            </w:pPr>
            <w:r>
              <w:rPr>
                <w:lang w:val="fr-FR"/>
              </w:rPr>
              <w:t>VENTAS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7412B0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A1DA808" w14:textId="77777777">
            <w:pPr>
              <w:pStyle w:val="Tab3MiddleColNonGras"/>
              <w:rPr>
                <w:lang w:val="fr-FR"/>
              </w:rPr>
            </w:pPr>
            <w:r>
              <w:rPr>
                <w:lang w:val="fr-FR"/>
              </w:rPr>
              <w:t>4 764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EC3FC9F" w14:textId="77777777">
            <w:pPr>
              <w:pStyle w:val="Tab3MiddleColNonGras"/>
              <w:rPr>
                <w:lang w:val="fr-FR"/>
              </w:rPr>
            </w:pPr>
            <w:r>
              <w:rPr>
                <w:lang w:val="fr-FR"/>
              </w:rPr>
              <w:t>300 846,60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FBF1EB3" w14:textId="77777777">
            <w:pPr>
              <w:pStyle w:val="Tab3LastColNonGras"/>
              <w:rPr>
                <w:lang w:val="fr-FR"/>
              </w:rPr>
            </w:pPr>
            <w:r>
              <w:rPr>
                <w:lang w:val="fr-FR"/>
              </w:rPr>
              <w:t>0,09</w:t>
            </w:r>
          </w:p>
        </w:tc>
      </w:tr>
      <w:tr w14:paraId="6B6AEDA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07A6FA0B" w14:textId="77777777">
            <w:pPr>
              <w:pStyle w:val="Tab1FirstColGras"/>
              <w:rPr>
                <w:lang w:val="fr-FR"/>
              </w:rPr>
            </w:pPr>
            <w:r>
              <w:rPr>
                <w:lang w:val="fr-FR"/>
              </w:rPr>
              <w:t>FPI spécialisé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2BD332D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605145F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28F58D2A" w14:textId="77777777">
            <w:pPr>
              <w:pStyle w:val="Tab1MiddleColGras"/>
              <w:rPr>
                <w:lang w:val="fr-FR"/>
              </w:rPr>
            </w:pPr>
            <w:r>
              <w:rPr>
                <w:lang w:val="fr-FR"/>
              </w:rPr>
              <w:t>4 877 425,38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F3550D5" w14:textId="77777777">
            <w:pPr>
              <w:pStyle w:val="Tab1LastColGras"/>
              <w:rPr>
                <w:lang w:val="fr-FR"/>
              </w:rPr>
            </w:pPr>
            <w:r>
              <w:rPr>
                <w:lang w:val="fr-FR"/>
              </w:rPr>
              <w:t>1,40</w:t>
            </w:r>
          </w:p>
        </w:tc>
      </w:tr>
      <w:tr w14:paraId="1CDA925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02BACEF" w14:textId="77777777">
            <w:pPr>
              <w:pStyle w:val="Tab3FirstColNonGras"/>
              <w:rPr>
                <w:lang w:val="fr-FR"/>
              </w:rPr>
            </w:pPr>
            <w:r>
              <w:rPr>
                <w:lang w:val="fr-FR"/>
              </w:rPr>
              <w:t>DIGITAL REALTY TRUST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696062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476918F" w14:textId="77777777">
            <w:pPr>
              <w:pStyle w:val="Tab3MiddleColNonGras"/>
              <w:rPr>
                <w:lang w:val="fr-FR"/>
              </w:rPr>
            </w:pPr>
            <w:r>
              <w:rPr>
                <w:lang w:val="fr-FR"/>
              </w:rPr>
              <w:t>4 300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3BAF431" w14:textId="77777777">
            <w:pPr>
              <w:pStyle w:val="Tab3MiddleColNonGras"/>
              <w:rPr>
                <w:lang w:val="fr-FR"/>
              </w:rPr>
            </w:pPr>
            <w:r>
              <w:rPr>
                <w:lang w:val="fr-FR"/>
              </w:rPr>
              <w:t>749 619,00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636BC17" w14:textId="77777777">
            <w:pPr>
              <w:pStyle w:val="Tab3LastColNonGras"/>
              <w:rPr>
                <w:lang w:val="fr-FR"/>
              </w:rPr>
            </w:pPr>
            <w:r>
              <w:rPr>
                <w:lang w:val="fr-FR"/>
              </w:rPr>
              <w:t>0,22</w:t>
            </w:r>
          </w:p>
        </w:tc>
      </w:tr>
      <w:tr w14:paraId="027ED90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82D51ED" w14:textId="77777777">
            <w:pPr>
              <w:pStyle w:val="Tab3FirstColNonGras"/>
              <w:rPr>
                <w:lang w:val="fr-FR"/>
              </w:rPr>
            </w:pPr>
            <w:r>
              <w:rPr>
                <w:lang w:val="fr-FR"/>
              </w:rPr>
              <w:t>EQUINIX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DACB2A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54ED4C2" w14:textId="77777777">
            <w:pPr>
              <w:pStyle w:val="Tab3MiddleColNonGras"/>
              <w:rPr>
                <w:lang w:val="fr-FR"/>
              </w:rPr>
            </w:pPr>
            <w:r>
              <w:rPr>
                <w:lang w:val="fr-FR"/>
              </w:rPr>
              <w:t>2 972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C450EBC" w14:textId="77777777">
            <w:pPr>
              <w:pStyle w:val="Tab3MiddleColNonGras"/>
              <w:rPr>
                <w:lang w:val="fr-FR"/>
              </w:rPr>
            </w:pPr>
            <w:r>
              <w:rPr>
                <w:lang w:val="fr-FR"/>
              </w:rPr>
              <w:t>2 364 136,84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05330AB" w14:textId="77777777">
            <w:pPr>
              <w:pStyle w:val="Tab3LastColNonGras"/>
              <w:rPr>
                <w:lang w:val="fr-FR"/>
              </w:rPr>
            </w:pPr>
            <w:r>
              <w:rPr>
                <w:lang w:val="fr-FR"/>
              </w:rPr>
              <w:t>0,67</w:t>
            </w:r>
          </w:p>
        </w:tc>
      </w:tr>
      <w:tr w14:paraId="6B0AF8B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758B144" w14:textId="77777777">
            <w:pPr>
              <w:pStyle w:val="Tab3FirstColNonGras"/>
              <w:rPr>
                <w:lang w:val="fr-FR"/>
              </w:rPr>
            </w:pPr>
            <w:r>
              <w:rPr>
                <w:lang w:val="fr-FR"/>
              </w:rPr>
              <w:t>EXTRA SPACE STORAGE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09561B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DD34694" w14:textId="77777777">
            <w:pPr>
              <w:pStyle w:val="Tab3MiddleColNonGras"/>
              <w:rPr>
                <w:lang w:val="fr-FR"/>
              </w:rPr>
            </w:pPr>
            <w:r>
              <w:rPr>
                <w:lang w:val="fr-FR"/>
              </w:rPr>
              <w:t>2 348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D47A171" w14:textId="77777777">
            <w:pPr>
              <w:pStyle w:val="Tab3MiddleColNonGras"/>
              <w:rPr>
                <w:lang w:val="fr-FR"/>
              </w:rPr>
            </w:pPr>
            <w:r>
              <w:rPr>
                <w:lang w:val="fr-FR"/>
              </w:rPr>
              <w:t>346 189,12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0092CDD" w14:textId="77777777">
            <w:pPr>
              <w:pStyle w:val="Tab3LastColNonGras"/>
              <w:rPr>
                <w:lang w:val="fr-FR"/>
              </w:rPr>
            </w:pPr>
            <w:r>
              <w:rPr>
                <w:lang w:val="fr-FR"/>
              </w:rPr>
              <w:t>0,10</w:t>
            </w:r>
          </w:p>
        </w:tc>
      </w:tr>
      <w:tr w14:paraId="38E3F87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EF39969" w14:textId="77777777">
            <w:pPr>
              <w:pStyle w:val="Tab3FirstColNonGras"/>
              <w:rPr>
                <w:lang w:val="fr-FR"/>
              </w:rPr>
            </w:pPr>
            <w:r>
              <w:rPr>
                <w:lang w:val="fr-FR"/>
              </w:rPr>
              <w:t>GAMING AND LEISURE PROPERTIE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251156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BAEFC76" w14:textId="77777777">
            <w:pPr>
              <w:pStyle w:val="Tab3MiddleColNonGras"/>
              <w:rPr>
                <w:lang w:val="fr-FR"/>
              </w:rPr>
            </w:pPr>
            <w:r>
              <w:rPr>
                <w:lang w:val="fr-FR"/>
              </w:rPr>
              <w:t>3 022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318383B" w14:textId="77777777">
            <w:pPr>
              <w:pStyle w:val="Tab3MiddleColNonGras"/>
              <w:rPr>
                <w:lang w:val="fr-FR"/>
              </w:rPr>
            </w:pPr>
            <w:r>
              <w:rPr>
                <w:lang w:val="fr-FR"/>
              </w:rPr>
              <w:t>141 066,96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331CF21" w14:textId="77777777">
            <w:pPr>
              <w:pStyle w:val="Tab3LastColNonGras"/>
              <w:rPr>
                <w:lang w:val="fr-FR"/>
              </w:rPr>
            </w:pPr>
            <w:r>
              <w:rPr>
                <w:lang w:val="fr-FR"/>
              </w:rPr>
              <w:t>0,04</w:t>
            </w:r>
          </w:p>
        </w:tc>
      </w:tr>
      <w:tr w14:paraId="1E926DE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CBF9EB0" w14:textId="77777777">
            <w:pPr>
              <w:pStyle w:val="Tab3FirstColNonGras"/>
              <w:rPr>
                <w:lang w:val="fr-FR"/>
              </w:rPr>
            </w:pPr>
            <w:r>
              <w:rPr>
                <w:lang w:val="fr-FR"/>
              </w:rPr>
              <w:t>IRON MOUNTAIN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E3774E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08D30F1" w14:textId="77777777">
            <w:pPr>
              <w:pStyle w:val="Tab3MiddleColNonGras"/>
              <w:rPr>
                <w:lang w:val="fr-FR"/>
              </w:rPr>
            </w:pPr>
            <w:r>
              <w:rPr>
                <w:lang w:val="fr-FR"/>
              </w:rPr>
              <w:t>3 360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39B51D0" w14:textId="77777777">
            <w:pPr>
              <w:pStyle w:val="Tab3MiddleColNonGras"/>
              <w:rPr>
                <w:lang w:val="fr-FR"/>
              </w:rPr>
            </w:pPr>
            <w:r>
              <w:rPr>
                <w:lang w:val="fr-FR"/>
              </w:rPr>
              <w:t>344 635,20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89E5E3E" w14:textId="77777777">
            <w:pPr>
              <w:pStyle w:val="Tab3LastColNonGras"/>
              <w:rPr>
                <w:lang w:val="fr-FR"/>
              </w:rPr>
            </w:pPr>
            <w:r>
              <w:rPr>
                <w:lang w:val="fr-FR"/>
              </w:rPr>
              <w:t>0,10</w:t>
            </w:r>
          </w:p>
        </w:tc>
      </w:tr>
      <w:tr w14:paraId="2A96B47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28E2627" w14:textId="77777777">
            <w:pPr>
              <w:pStyle w:val="Tab3FirstColNonGras"/>
              <w:rPr>
                <w:lang w:val="fr-FR"/>
              </w:rPr>
            </w:pPr>
            <w:r>
              <w:rPr>
                <w:lang w:val="fr-FR"/>
              </w:rPr>
              <w:t>PUBLIC STORAGE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25AA91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B14D799" w14:textId="77777777">
            <w:pPr>
              <w:pStyle w:val="Tab3MiddleColNonGras"/>
              <w:rPr>
                <w:lang w:val="fr-FR"/>
              </w:rPr>
            </w:pPr>
            <w:r>
              <w:rPr>
                <w:lang w:val="fr-FR"/>
              </w:rPr>
              <w:t>1 883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9A01465" w14:textId="77777777">
            <w:pPr>
              <w:pStyle w:val="Tab3MiddleColNonGras"/>
              <w:rPr>
                <w:lang w:val="fr-FR"/>
              </w:rPr>
            </w:pPr>
            <w:r>
              <w:rPr>
                <w:lang w:val="fr-FR"/>
              </w:rPr>
              <w:t>552 509,86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D3B64CC" w14:textId="77777777">
            <w:pPr>
              <w:pStyle w:val="Tab3LastColNonGras"/>
              <w:rPr>
                <w:lang w:val="fr-FR"/>
              </w:rPr>
            </w:pPr>
            <w:r>
              <w:rPr>
                <w:lang w:val="fr-FR"/>
              </w:rPr>
              <w:t>0,16</w:t>
            </w:r>
          </w:p>
        </w:tc>
      </w:tr>
      <w:tr w14:paraId="1E595F5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296D2BC" w14:textId="77777777">
            <w:pPr>
              <w:pStyle w:val="Tab3FirstColNonGras"/>
              <w:rPr>
                <w:lang w:val="fr-FR"/>
              </w:rPr>
            </w:pPr>
            <w:r>
              <w:rPr>
                <w:lang w:val="fr-FR"/>
              </w:rPr>
              <w:t>VICI PROPERTIES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F1F606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1C1E453" w14:textId="77777777">
            <w:pPr>
              <w:pStyle w:val="Tab3MiddleColNonGras"/>
              <w:rPr>
                <w:lang w:val="fr-FR"/>
              </w:rPr>
            </w:pPr>
            <w:r>
              <w:rPr>
                <w:lang w:val="fr-FR"/>
              </w:rPr>
              <w:t>11 634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66111A1" w14:textId="77777777">
            <w:pPr>
              <w:pStyle w:val="Tab3MiddleColNonGras"/>
              <w:rPr>
                <w:lang w:val="fr-FR"/>
              </w:rPr>
            </w:pPr>
            <w:r>
              <w:rPr>
                <w:lang w:val="fr-FR"/>
              </w:rPr>
              <w:t>379 268,40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4EE2048" w14:textId="77777777">
            <w:pPr>
              <w:pStyle w:val="Tab3LastColNonGras"/>
              <w:rPr>
                <w:lang w:val="fr-FR"/>
              </w:rPr>
            </w:pPr>
            <w:r>
              <w:rPr>
                <w:lang w:val="fr-FR"/>
              </w:rPr>
              <w:t>0,11</w:t>
            </w:r>
          </w:p>
        </w:tc>
      </w:tr>
    </w:tbl>
    <w:p w:rsidR="001F4AEE" w14:paraId="65AB901A" w14:textId="77777777">
      <w:pPr>
        <w:sectPr>
          <w:headerReference w:type="default" r:id="rId36"/>
          <w:footerReference w:type="default" r:id="rId37"/>
          <w:pgSz w:w="11900" w:h="16840"/>
          <w:pgMar w:top="2154" w:right="1134" w:bottom="1134" w:left="1134" w:header="400" w:footer="400" w:gutter="0"/>
          <w:cols w:space="720"/>
        </w:sectPr>
      </w:pPr>
    </w:p>
    <w:p w:rsidR="001F4AEE" w14:paraId="01C42D2F" w14:textId="77777777">
      <w:pPr>
        <w:spacing w:line="30" w:lineRule="exact"/>
        <w:rPr>
          <w:sz w:val="3"/>
        </w:rPr>
      </w:pPr>
    </w:p>
    <w:p w:rsidR="001F4AEE" w14:paraId="5E062197" w14:textId="77777777">
      <w:pPr>
        <w:pStyle w:val="TechnicalBookmark"/>
        <w:rPr>
          <w:lang w:val="fr-FR"/>
        </w:rPr>
      </w:pPr>
      <w:r>
        <w:rPr>
          <w:lang w:val="fr-FR"/>
        </w:rPr>
        <w:fldChar w:fldCharType="begin"/>
      </w:r>
      <w:r>
        <w:rPr>
          <w:lang w:val="fr-FR"/>
        </w:rPr>
        <w:instrText xml:space="preserve"> SET C70586050E118A5764A1F1CA71F632F5 "" </w:instrText>
      </w:r>
      <w:r>
        <w:rPr>
          <w:lang w:val="fr-FR"/>
        </w:rPr>
        <w:fldChar w:fldCharType="separate"/>
      </w:r>
      <w:bookmarkStart w:id="92" w:name="C70586050E118A5764A1F1CA71F632F5"/>
      <w:bookmarkEnd w:id="92"/>
      <w:r>
        <w:rPr>
          <w:lang w:val="fr-FR"/>
        </w:rPr>
        <w:fldChar w:fldCharType="end"/>
      </w:r>
    </w:p>
    <w:p w:rsidR="001F4AEE" w14:paraId="2C437C92" w14:textId="77777777">
      <w:pPr>
        <w:pStyle w:val="H2"/>
        <w:rPr>
          <w:lang w:val="fr-FR"/>
        </w:rPr>
      </w:pPr>
      <w:r>
        <w:rPr>
          <w:lang w:val="fr-FR"/>
        </w:rPr>
        <w:t xml:space="preserve">Inventaire des éléments de bilan </w:t>
      </w:r>
    </w:p>
    <w:p w:rsidR="001F4AEE" w14:paraId="340EA7EF" w14:textId="77777777">
      <w:pPr>
        <w:pStyle w:val="NoRefToc"/>
        <w:rPr>
          <w:lang w:val="fr-FR"/>
        </w:rPr>
      </w:pPr>
    </w:p>
    <w:p w:rsidR="001F4AEE" w14:paraId="314D4CD3" w14:textId="77777777">
      <w:pPr>
        <w:pStyle w:val="TechnicalBookmark"/>
        <w:rPr>
          <w:lang w:val="fr-FR"/>
        </w:rPr>
      </w:pPr>
      <w:r>
        <w:rPr>
          <w:lang w:val="fr-FR"/>
        </w:rPr>
        <w:fldChar w:fldCharType="begin"/>
      </w:r>
      <w:r>
        <w:rPr>
          <w:lang w:val="fr-FR"/>
        </w:rPr>
        <w:instrText xml:space="preserve"> SET A3142A6FD530861E526EA76A2114F0CF "" </w:instrText>
      </w:r>
      <w:r>
        <w:rPr>
          <w:lang w:val="fr-FR"/>
        </w:rPr>
        <w:fldChar w:fldCharType="separate"/>
      </w:r>
      <w:bookmarkStart w:id="93" w:name="A3142A6FD530861E526EA76A2114F0CF"/>
      <w:bookmarkEnd w:id="93"/>
      <w:r>
        <w:rPr>
          <w:lang w:val="fr-FR"/>
        </w:rPr>
        <w:fldChar w:fldCharType="end"/>
      </w:r>
    </w:p>
    <w:p w:rsidR="001F4AEE" w14:paraId="7D88FBB0"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675098BD"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0B2C8241"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458DC012"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6A0E3ED0" w14:textId="77777777">
            <w:pPr>
              <w:pStyle w:val="EnteteTabMiddleColBordure"/>
              <w:spacing w:line="184" w:lineRule="exact"/>
              <w:rPr>
                <w:lang w:val="fr-FR"/>
              </w:rPr>
            </w:pPr>
            <w:r>
              <w:rPr>
                <w:lang w:val="fr-FR"/>
              </w:rPr>
              <w:t>Quantité ou</w:t>
            </w:r>
          </w:p>
          <w:p w:rsidR="001F4AEE" w14:paraId="3F8CAE52"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130843D4"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3F1ECCCB" w14:textId="77777777">
            <w:pPr>
              <w:pStyle w:val="EnteteTabLastColBordure"/>
              <w:spacing w:line="184" w:lineRule="exact"/>
              <w:rPr>
                <w:lang w:val="fr-FR"/>
              </w:rPr>
            </w:pPr>
            <w:r>
              <w:rPr>
                <w:lang w:val="fr-FR"/>
              </w:rPr>
              <w:t>% Actif</w:t>
            </w:r>
          </w:p>
          <w:p w:rsidR="001F4AEE" w14:paraId="1BA36B1B" w14:textId="77777777">
            <w:pPr>
              <w:pStyle w:val="EnteteTabLastColBordure"/>
              <w:spacing w:line="184" w:lineRule="exact"/>
              <w:rPr>
                <w:lang w:val="fr-FR"/>
              </w:rPr>
            </w:pPr>
            <w:r>
              <w:rPr>
                <w:lang w:val="fr-FR"/>
              </w:rPr>
              <w:t>Net</w:t>
            </w:r>
          </w:p>
        </w:tc>
      </w:tr>
      <w:tr w14:paraId="173B41F3"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A0071C4" w14:textId="77777777">
            <w:pPr>
              <w:pStyle w:val="Tab1FirstColGras"/>
              <w:rPr>
                <w:lang w:val="fr-FR"/>
              </w:rPr>
            </w:pPr>
            <w:r>
              <w:rPr>
                <w:lang w:val="fr-FR"/>
              </w:rPr>
              <w:t>Gestion et promotion immobilière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1E191D4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4852C05"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43F6A5FD" w14:textId="77777777">
            <w:pPr>
              <w:pStyle w:val="Tab1MiddleColGras"/>
              <w:rPr>
                <w:lang w:val="fr-FR"/>
              </w:rPr>
            </w:pPr>
            <w:r>
              <w:rPr>
                <w:lang w:val="fr-FR"/>
              </w:rPr>
              <w:t>45 340,35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84AC382" w14:textId="77777777">
            <w:pPr>
              <w:pStyle w:val="Tab1LastColGras"/>
              <w:rPr>
                <w:lang w:val="fr-FR"/>
              </w:rPr>
            </w:pPr>
            <w:r>
              <w:rPr>
                <w:lang w:val="fr-FR"/>
              </w:rPr>
              <w:t>0,01</w:t>
            </w:r>
          </w:p>
        </w:tc>
      </w:tr>
      <w:tr w14:paraId="58E8530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75DB415" w14:textId="77777777">
            <w:pPr>
              <w:pStyle w:val="Tab3FirstColNonGras"/>
              <w:rPr>
                <w:lang w:val="fr-FR"/>
              </w:rPr>
            </w:pPr>
            <w:r>
              <w:rPr>
                <w:lang w:val="fr-FR"/>
              </w:rPr>
              <w:t>AZRIELI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0D27B4C" w14:textId="77777777">
            <w:pPr>
              <w:pStyle w:val="Tab1MiddleColNonGrasCentre"/>
              <w:rPr>
                <w:lang w:val="fr-FR"/>
              </w:rPr>
            </w:pPr>
            <w:r>
              <w:rPr>
                <w:lang w:val="fr-FR"/>
              </w:rPr>
              <w:t>ILS</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5D0DB23" w14:textId="77777777">
            <w:pPr>
              <w:pStyle w:val="Tab3MiddleColNonGras"/>
              <w:rPr>
                <w:lang w:val="fr-FR"/>
              </w:rPr>
            </w:pPr>
            <w:r>
              <w:rPr>
                <w:lang w:val="fr-FR"/>
              </w:rPr>
              <w:t>493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873C754" w14:textId="77777777">
            <w:pPr>
              <w:pStyle w:val="Tab3MiddleColNonGras"/>
              <w:rPr>
                <w:lang w:val="fr-FR"/>
              </w:rPr>
            </w:pPr>
            <w:r>
              <w:rPr>
                <w:lang w:val="fr-FR"/>
              </w:rPr>
              <w:t>45 340,35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CB28D6D" w14:textId="77777777">
            <w:pPr>
              <w:pStyle w:val="Tab3LastColNonGras"/>
              <w:rPr>
                <w:lang w:val="fr-FR"/>
              </w:rPr>
            </w:pPr>
            <w:r>
              <w:rPr>
                <w:lang w:val="fr-FR"/>
              </w:rPr>
              <w:t>0,01</w:t>
            </w:r>
          </w:p>
        </w:tc>
      </w:tr>
      <w:tr w14:paraId="30618F0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63C54758" w14:textId="77777777">
            <w:pPr>
              <w:pStyle w:val="Tab1FirstColGras"/>
              <w:rPr>
                <w:lang w:val="fr-FR"/>
              </w:rPr>
            </w:pPr>
            <w:r>
              <w:rPr>
                <w:lang w:val="fr-FR"/>
              </w:rPr>
              <w:t>Gestion immobilière et développement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224EF01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95D2BC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1666069B" w14:textId="77777777">
            <w:pPr>
              <w:pStyle w:val="Tab1MiddleColGras"/>
              <w:rPr>
                <w:lang w:val="fr-FR"/>
              </w:rPr>
            </w:pPr>
            <w:r>
              <w:rPr>
                <w:lang w:val="fr-FR"/>
              </w:rPr>
              <w:t>2 739 451,35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3182573" w14:textId="77777777">
            <w:pPr>
              <w:pStyle w:val="Tab1LastColGras"/>
              <w:rPr>
                <w:lang w:val="fr-FR"/>
              </w:rPr>
            </w:pPr>
            <w:r>
              <w:rPr>
                <w:lang w:val="fr-FR"/>
              </w:rPr>
              <w:t>0,79</w:t>
            </w:r>
          </w:p>
        </w:tc>
      </w:tr>
      <w:tr w14:paraId="53E39EF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9B81E96" w14:textId="77777777">
            <w:pPr>
              <w:pStyle w:val="Tab3FirstColNonGras"/>
              <w:rPr>
                <w:lang w:val="fr-FR"/>
              </w:rPr>
            </w:pPr>
            <w:r>
              <w:rPr>
                <w:lang w:val="fr-FR"/>
              </w:rPr>
              <w:t>CBRE GROUP INC -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77A38B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6DD6365" w14:textId="77777777">
            <w:pPr>
              <w:pStyle w:val="Tab3MiddleColNonGras"/>
              <w:rPr>
                <w:lang w:val="fr-FR"/>
              </w:rPr>
            </w:pPr>
            <w:r>
              <w:rPr>
                <w:lang w:val="fr-FR"/>
              </w:rPr>
              <w:t>678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63B0105" w14:textId="77777777">
            <w:pPr>
              <w:pStyle w:val="Tab3MiddleColNonGras"/>
              <w:rPr>
                <w:lang w:val="fr-FR"/>
              </w:rPr>
            </w:pPr>
            <w:r>
              <w:rPr>
                <w:lang w:val="fr-FR"/>
              </w:rPr>
              <w:t>95 001,36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0A2E2CD" w14:textId="77777777">
            <w:pPr>
              <w:pStyle w:val="Tab3LastColNonGras"/>
              <w:rPr>
                <w:lang w:val="fr-FR"/>
              </w:rPr>
            </w:pPr>
            <w:r>
              <w:rPr>
                <w:lang w:val="fr-FR"/>
              </w:rPr>
              <w:t>0,03</w:t>
            </w:r>
          </w:p>
        </w:tc>
      </w:tr>
      <w:tr w14:paraId="0A32409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E56A1C1" w14:textId="77777777">
            <w:pPr>
              <w:pStyle w:val="Tab3FirstColNonGras"/>
              <w:rPr>
                <w:lang w:val="fr-FR"/>
              </w:rPr>
            </w:pPr>
            <w:r>
              <w:rPr>
                <w:lang w:val="fr-FR"/>
              </w:rPr>
              <w:t>COSTAR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C88472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31E5512" w14:textId="77777777">
            <w:pPr>
              <w:pStyle w:val="Tab3MiddleColNonGras"/>
              <w:rPr>
                <w:lang w:val="fr-FR"/>
              </w:rPr>
            </w:pPr>
            <w:r>
              <w:rPr>
                <w:lang w:val="fr-FR"/>
              </w:rPr>
              <w:t>4 914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DB26C54" w14:textId="77777777">
            <w:pPr>
              <w:pStyle w:val="Tab3MiddleColNonGras"/>
              <w:rPr>
                <w:lang w:val="fr-FR"/>
              </w:rPr>
            </w:pPr>
            <w:r>
              <w:rPr>
                <w:lang w:val="fr-FR"/>
              </w:rPr>
              <w:t>395 085,60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0F2B5B8" w14:textId="77777777">
            <w:pPr>
              <w:pStyle w:val="Tab3LastColNonGras"/>
              <w:rPr>
                <w:lang w:val="fr-FR"/>
              </w:rPr>
            </w:pPr>
            <w:r>
              <w:rPr>
                <w:lang w:val="fr-FR"/>
              </w:rPr>
              <w:t>0,11</w:t>
            </w:r>
          </w:p>
        </w:tc>
      </w:tr>
      <w:tr w14:paraId="482FD54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44E3C3A8" w14:textId="77777777">
            <w:pPr>
              <w:pStyle w:val="Tab3FirstColNonGras"/>
              <w:rPr>
                <w:lang w:val="en-US"/>
              </w:rPr>
            </w:pPr>
            <w:r w:rsidRPr="00D61EB0">
              <w:rPr>
                <w:lang w:val="en-US"/>
              </w:rPr>
              <w:t>DAITO TRUST CONSTRUCT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0D5DAB8"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734CB1D" w14:textId="77777777">
            <w:pPr>
              <w:pStyle w:val="Tab3MiddleColNonGras"/>
              <w:rPr>
                <w:lang w:val="fr-FR"/>
              </w:rPr>
            </w:pPr>
            <w:r>
              <w:rPr>
                <w:lang w:val="fr-FR"/>
              </w:rPr>
              <w:t>300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F61048F" w14:textId="77777777">
            <w:pPr>
              <w:pStyle w:val="Tab3MiddleColNonGras"/>
              <w:rPr>
                <w:lang w:val="fr-FR"/>
              </w:rPr>
            </w:pPr>
            <w:r>
              <w:rPr>
                <w:lang w:val="fr-FR"/>
              </w:rPr>
              <w:t>32 555,65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7F8A070" w14:textId="77777777">
            <w:pPr>
              <w:pStyle w:val="Tab3LastColNonGras"/>
              <w:rPr>
                <w:lang w:val="fr-FR"/>
              </w:rPr>
            </w:pPr>
            <w:r>
              <w:rPr>
                <w:lang w:val="fr-FR"/>
              </w:rPr>
              <w:t>0,01</w:t>
            </w:r>
          </w:p>
        </w:tc>
      </w:tr>
      <w:tr w14:paraId="60436E1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6E152661" w14:textId="77777777">
            <w:pPr>
              <w:pStyle w:val="Tab3FirstColNonGras"/>
              <w:rPr>
                <w:lang w:val="en-US"/>
              </w:rPr>
            </w:pPr>
            <w:r w:rsidRPr="00D61EB0">
              <w:rPr>
                <w:lang w:val="en-US"/>
              </w:rPr>
              <w:t>DAIWA HOUSE INDUSTRY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C6E5C89"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0E0D300" w14:textId="77777777">
            <w:pPr>
              <w:pStyle w:val="Tab3MiddleColNonGras"/>
              <w:rPr>
                <w:lang w:val="fr-FR"/>
              </w:rPr>
            </w:pPr>
            <w:r>
              <w:rPr>
                <w:lang w:val="fr-FR"/>
              </w:rPr>
              <w:t>1 400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C0BA207" w14:textId="77777777">
            <w:pPr>
              <w:pStyle w:val="Tab3MiddleColNonGras"/>
              <w:rPr>
                <w:lang w:val="fr-FR"/>
              </w:rPr>
            </w:pPr>
            <w:r>
              <w:rPr>
                <w:lang w:val="fr-FR"/>
              </w:rPr>
              <w:t>48 015,51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553F0A2" w14:textId="77777777">
            <w:pPr>
              <w:pStyle w:val="Tab3LastColNonGras"/>
              <w:rPr>
                <w:lang w:val="fr-FR"/>
              </w:rPr>
            </w:pPr>
            <w:r>
              <w:rPr>
                <w:lang w:val="fr-FR"/>
              </w:rPr>
              <w:t>0,01</w:t>
            </w:r>
          </w:p>
        </w:tc>
      </w:tr>
      <w:tr w14:paraId="33B0F63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15E23548" w14:textId="77777777">
            <w:pPr>
              <w:pStyle w:val="Tab3FirstColNonGras"/>
              <w:rPr>
                <w:lang w:val="de-DE"/>
              </w:rPr>
            </w:pPr>
            <w:r w:rsidRPr="00D61EB0">
              <w:rPr>
                <w:lang w:val="de-DE"/>
              </w:rPr>
              <w:t>FASTIGHETS AB BALDER-B SHRS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222B9FD"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945E68B" w14:textId="77777777">
            <w:pPr>
              <w:pStyle w:val="Tab3MiddleColNonGras"/>
              <w:rPr>
                <w:lang w:val="fr-FR"/>
              </w:rPr>
            </w:pPr>
            <w:r>
              <w:rPr>
                <w:lang w:val="fr-FR"/>
              </w:rPr>
              <w:t>5 090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9AA2ED8" w14:textId="77777777">
            <w:pPr>
              <w:pStyle w:val="Tab3MiddleColNonGras"/>
              <w:rPr>
                <w:lang w:val="fr-FR"/>
              </w:rPr>
            </w:pPr>
            <w:r>
              <w:rPr>
                <w:lang w:val="fr-FR"/>
              </w:rPr>
              <w:t>37 524,52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0D41832" w14:textId="77777777">
            <w:pPr>
              <w:pStyle w:val="Tab3LastColNonGras"/>
              <w:rPr>
                <w:lang w:val="fr-FR"/>
              </w:rPr>
            </w:pPr>
            <w:r>
              <w:rPr>
                <w:lang w:val="fr-FR"/>
              </w:rPr>
              <w:t>0,01</w:t>
            </w:r>
          </w:p>
        </w:tc>
      </w:tr>
      <w:tr w14:paraId="4DC4131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6E2F486" w14:textId="77777777">
            <w:pPr>
              <w:pStyle w:val="Tab3FirstColNonGras"/>
              <w:rPr>
                <w:lang w:val="fr-FR"/>
              </w:rPr>
            </w:pPr>
            <w:r>
              <w:rPr>
                <w:lang w:val="fr-FR"/>
              </w:rPr>
              <w:t>FIRSTSERVICE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BCB9045"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B6A8DDD" w14:textId="77777777">
            <w:pPr>
              <w:pStyle w:val="Tab3MiddleColNonGras"/>
              <w:rPr>
                <w:lang w:val="fr-FR"/>
              </w:rPr>
            </w:pPr>
            <w:r>
              <w:rPr>
                <w:lang w:val="fr-FR"/>
              </w:rPr>
              <w:t>593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1D15F94" w14:textId="77777777">
            <w:pPr>
              <w:pStyle w:val="Tab3MiddleColNonGras"/>
              <w:rPr>
                <w:lang w:val="fr-FR"/>
              </w:rPr>
            </w:pPr>
            <w:r>
              <w:rPr>
                <w:lang w:val="fr-FR"/>
              </w:rPr>
              <w:t>103 269,92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84C9A31" w14:textId="77777777">
            <w:pPr>
              <w:pStyle w:val="Tab3LastColNonGras"/>
              <w:rPr>
                <w:lang w:val="fr-FR"/>
              </w:rPr>
            </w:pPr>
            <w:r>
              <w:rPr>
                <w:lang w:val="fr-FR"/>
              </w:rPr>
              <w:t>0,03</w:t>
            </w:r>
          </w:p>
        </w:tc>
      </w:tr>
      <w:tr w14:paraId="1439E13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61CD8D4" w14:textId="77777777">
            <w:pPr>
              <w:pStyle w:val="Tab3FirstColNonGras"/>
              <w:rPr>
                <w:lang w:val="fr-FR"/>
              </w:rPr>
            </w:pPr>
            <w:r>
              <w:rPr>
                <w:lang w:val="fr-FR"/>
              </w:rPr>
              <w:t>HULIC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BB732CD"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E24D0FE" w14:textId="77777777">
            <w:pPr>
              <w:pStyle w:val="Tab3MiddleColNonGras"/>
              <w:rPr>
                <w:lang w:val="fr-FR"/>
              </w:rPr>
            </w:pPr>
            <w:r>
              <w:rPr>
                <w:lang w:val="fr-FR"/>
              </w:rPr>
              <w:t>4 500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572770A" w14:textId="77777777">
            <w:pPr>
              <w:pStyle w:val="Tab3MiddleColNonGras"/>
              <w:rPr>
                <w:lang w:val="fr-FR"/>
              </w:rPr>
            </w:pPr>
            <w:r>
              <w:rPr>
                <w:lang w:val="fr-FR"/>
              </w:rPr>
              <w:t>45 250,79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34DA182" w14:textId="77777777">
            <w:pPr>
              <w:pStyle w:val="Tab3LastColNonGras"/>
              <w:rPr>
                <w:lang w:val="fr-FR"/>
              </w:rPr>
            </w:pPr>
            <w:r>
              <w:rPr>
                <w:lang w:val="fr-FR"/>
              </w:rPr>
              <w:t>0,01</w:t>
            </w:r>
          </w:p>
        </w:tc>
      </w:tr>
      <w:tr w14:paraId="49EAAEC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B814DBA" w14:textId="77777777">
            <w:pPr>
              <w:pStyle w:val="Tab3FirstColNonGras"/>
              <w:rPr>
                <w:lang w:val="fr-FR"/>
              </w:rPr>
            </w:pPr>
            <w:r>
              <w:rPr>
                <w:lang w:val="fr-FR"/>
              </w:rPr>
              <w:t>LEG IMMOBILIEN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A8F972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1A5E6E3" w14:textId="77777777">
            <w:pPr>
              <w:pStyle w:val="Tab3MiddleColNonGras"/>
              <w:rPr>
                <w:lang w:val="fr-FR"/>
              </w:rPr>
            </w:pPr>
            <w:r>
              <w:rPr>
                <w:lang w:val="fr-FR"/>
              </w:rPr>
              <w:t>946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4979645" w14:textId="77777777">
            <w:pPr>
              <w:pStyle w:val="Tab3MiddleColNonGras"/>
              <w:rPr>
                <w:lang w:val="fr-FR"/>
              </w:rPr>
            </w:pPr>
            <w:r>
              <w:rPr>
                <w:lang w:val="fr-FR"/>
              </w:rPr>
              <w:t>83 673,32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66C75A9" w14:textId="77777777">
            <w:pPr>
              <w:pStyle w:val="Tab3LastColNonGras"/>
              <w:rPr>
                <w:lang w:val="fr-FR"/>
              </w:rPr>
            </w:pPr>
            <w:r>
              <w:rPr>
                <w:lang w:val="fr-FR"/>
              </w:rPr>
              <w:t>0,02</w:t>
            </w:r>
          </w:p>
        </w:tc>
      </w:tr>
      <w:tr w14:paraId="440C0D3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B3F2490" w14:textId="77777777">
            <w:pPr>
              <w:pStyle w:val="Tab3FirstColNonGras"/>
              <w:rPr>
                <w:lang w:val="fr-FR"/>
              </w:rPr>
            </w:pPr>
            <w:r>
              <w:rPr>
                <w:lang w:val="fr-FR"/>
              </w:rPr>
              <w:t>MITSUBISHI ESTATE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06A8B38"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26BB432" w14:textId="77777777">
            <w:pPr>
              <w:pStyle w:val="Tab3MiddleColNonGras"/>
              <w:rPr>
                <w:lang w:val="fr-FR"/>
              </w:rPr>
            </w:pPr>
            <w:r>
              <w:rPr>
                <w:lang w:val="fr-FR"/>
              </w:rPr>
              <w:t>12 500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8EC9545" w14:textId="77777777">
            <w:pPr>
              <w:pStyle w:val="Tab3MiddleColNonGras"/>
              <w:rPr>
                <w:lang w:val="fr-FR"/>
              </w:rPr>
            </w:pPr>
            <w:r>
              <w:rPr>
                <w:lang w:val="fr-FR"/>
              </w:rPr>
              <w:t>233 912,58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72726E5" w14:textId="77777777">
            <w:pPr>
              <w:pStyle w:val="Tab3LastColNonGras"/>
              <w:rPr>
                <w:lang w:val="fr-FR"/>
              </w:rPr>
            </w:pPr>
            <w:r>
              <w:rPr>
                <w:lang w:val="fr-FR"/>
              </w:rPr>
              <w:t>0,07</w:t>
            </w:r>
          </w:p>
        </w:tc>
      </w:tr>
      <w:tr w14:paraId="0F912D7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D62B6CB" w14:textId="77777777">
            <w:pPr>
              <w:pStyle w:val="Tab3FirstColNonGras"/>
              <w:rPr>
                <w:lang w:val="fr-FR"/>
              </w:rPr>
            </w:pPr>
            <w:r>
              <w:rPr>
                <w:lang w:val="fr-FR"/>
              </w:rPr>
              <w:t>MITSUI FUDOSAN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F0B40BE"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DBF9F4E" w14:textId="77777777">
            <w:pPr>
              <w:pStyle w:val="Tab3MiddleColNonGras"/>
              <w:rPr>
                <w:lang w:val="fr-FR"/>
              </w:rPr>
            </w:pPr>
            <w:r>
              <w:rPr>
                <w:lang w:val="fr-FR"/>
              </w:rPr>
              <w:t>32 500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B4F2490" w14:textId="77777777">
            <w:pPr>
              <w:pStyle w:val="Tab3MiddleColNonGras"/>
              <w:rPr>
                <w:lang w:val="fr-FR"/>
              </w:rPr>
            </w:pPr>
            <w:r>
              <w:rPr>
                <w:lang w:val="fr-FR"/>
              </w:rPr>
              <w:t>313 873,82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63A8F1E" w14:textId="77777777">
            <w:pPr>
              <w:pStyle w:val="Tab3LastColNonGras"/>
              <w:rPr>
                <w:lang w:val="fr-FR"/>
              </w:rPr>
            </w:pPr>
            <w:r>
              <w:rPr>
                <w:lang w:val="fr-FR"/>
              </w:rPr>
              <w:t>0,09</w:t>
            </w:r>
          </w:p>
        </w:tc>
      </w:tr>
      <w:tr w14:paraId="76FEBF4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F8A1794" w14:textId="77777777">
            <w:pPr>
              <w:pStyle w:val="Tab3FirstColNonGras"/>
              <w:rPr>
                <w:lang w:val="fr-FR"/>
              </w:rPr>
            </w:pPr>
            <w:r>
              <w:rPr>
                <w:lang w:val="fr-FR"/>
              </w:rPr>
              <w:t>SAGAX AB-B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FB77170"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B87CC60" w14:textId="77777777">
            <w:pPr>
              <w:pStyle w:val="Tab3MiddleColNonGras"/>
              <w:rPr>
                <w:lang w:val="fr-FR"/>
              </w:rPr>
            </w:pPr>
            <w:r>
              <w:rPr>
                <w:lang w:val="fr-FR"/>
              </w:rPr>
              <w:t>1 788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3B84DEC" w14:textId="77777777">
            <w:pPr>
              <w:pStyle w:val="Tab3MiddleColNonGras"/>
              <w:rPr>
                <w:lang w:val="fr-FR"/>
              </w:rPr>
            </w:pPr>
            <w:r>
              <w:rPr>
                <w:lang w:val="fr-FR"/>
              </w:rPr>
              <w:t>40 523,83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09248C7" w14:textId="77777777">
            <w:pPr>
              <w:pStyle w:val="Tab3LastColNonGras"/>
              <w:rPr>
                <w:lang w:val="fr-FR"/>
              </w:rPr>
            </w:pPr>
            <w:r>
              <w:rPr>
                <w:lang w:val="fr-FR"/>
              </w:rPr>
              <w:t>0,01</w:t>
            </w:r>
          </w:p>
        </w:tc>
      </w:tr>
      <w:tr w14:paraId="7C32B4A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5FDD1FA" w14:textId="77777777">
            <w:pPr>
              <w:pStyle w:val="Tab3FirstColNonGras"/>
              <w:rPr>
                <w:lang w:val="fr-FR"/>
              </w:rPr>
            </w:pPr>
            <w:r>
              <w:rPr>
                <w:lang w:val="fr-FR"/>
              </w:rPr>
              <w:t>SIMON PROPERTY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56D37F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A08D7E6" w14:textId="77777777">
            <w:pPr>
              <w:pStyle w:val="Tab3MiddleColNonGras"/>
              <w:rPr>
                <w:lang w:val="fr-FR"/>
              </w:rPr>
            </w:pPr>
            <w:r>
              <w:rPr>
                <w:lang w:val="fr-FR"/>
              </w:rPr>
              <w:t>3 942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04F4BE0" w14:textId="77777777">
            <w:pPr>
              <w:pStyle w:val="Tab3MiddleColNonGras"/>
              <w:rPr>
                <w:lang w:val="fr-FR"/>
              </w:rPr>
            </w:pPr>
            <w:r>
              <w:rPr>
                <w:lang w:val="fr-FR"/>
              </w:rPr>
              <w:t>633 715,92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D1EA87D" w14:textId="77777777">
            <w:pPr>
              <w:pStyle w:val="Tab3LastColNonGras"/>
              <w:rPr>
                <w:lang w:val="fr-FR"/>
              </w:rPr>
            </w:pPr>
            <w:r>
              <w:rPr>
                <w:lang w:val="fr-FR"/>
              </w:rPr>
              <w:t>0,19</w:t>
            </w:r>
          </w:p>
        </w:tc>
      </w:tr>
      <w:tr w14:paraId="2D57224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0484993" w14:textId="77777777">
            <w:pPr>
              <w:pStyle w:val="Tab3FirstColNonGras"/>
              <w:rPr>
                <w:lang w:val="fr-FR"/>
              </w:rPr>
            </w:pPr>
            <w:r>
              <w:rPr>
                <w:lang w:val="fr-FR"/>
              </w:rPr>
              <w:t>SUMITOMO REALTY &amp; DEVELOPMEN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03B5229"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ECBCCDA" w14:textId="77777777">
            <w:pPr>
              <w:pStyle w:val="Tab3MiddleColNonGras"/>
              <w:rPr>
                <w:lang w:val="fr-FR"/>
              </w:rPr>
            </w:pPr>
            <w:r>
              <w:rPr>
                <w:lang w:val="fr-FR"/>
              </w:rPr>
              <w:t>2 900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B7EBEDC" w14:textId="77777777">
            <w:pPr>
              <w:pStyle w:val="Tab3MiddleColNonGras"/>
              <w:rPr>
                <w:lang w:val="fr-FR"/>
              </w:rPr>
            </w:pPr>
            <w:r>
              <w:rPr>
                <w:lang w:val="fr-FR"/>
              </w:rPr>
              <w:t>111 767,81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86CB48B" w14:textId="77777777">
            <w:pPr>
              <w:pStyle w:val="Tab3LastColNonGras"/>
              <w:rPr>
                <w:lang w:val="fr-FR"/>
              </w:rPr>
            </w:pPr>
            <w:r>
              <w:rPr>
                <w:lang w:val="fr-FR"/>
              </w:rPr>
              <w:t>0,03</w:t>
            </w:r>
          </w:p>
        </w:tc>
      </w:tr>
      <w:tr w14:paraId="0D9C8FF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2CB835F" w14:textId="77777777">
            <w:pPr>
              <w:pStyle w:val="Tab3FirstColNonGras"/>
              <w:rPr>
                <w:lang w:val="fr-FR"/>
              </w:rPr>
            </w:pPr>
            <w:r>
              <w:rPr>
                <w:lang w:val="fr-FR"/>
              </w:rPr>
              <w:t>SWISS PRIME SITE-REG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47B8B1C"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2948279" w14:textId="77777777">
            <w:pPr>
              <w:pStyle w:val="Tab3MiddleColNonGras"/>
              <w:rPr>
                <w:lang w:val="fr-FR"/>
              </w:rPr>
            </w:pPr>
            <w:r>
              <w:rPr>
                <w:lang w:val="fr-FR"/>
              </w:rPr>
              <w:t>1 098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65E2982" w14:textId="77777777">
            <w:pPr>
              <w:pStyle w:val="Tab3MiddleColNonGras"/>
              <w:rPr>
                <w:lang w:val="fr-FR"/>
              </w:rPr>
            </w:pPr>
            <w:r>
              <w:rPr>
                <w:lang w:val="fr-FR"/>
              </w:rPr>
              <w:t>163 878,43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56B39FD" w14:textId="77777777">
            <w:pPr>
              <w:pStyle w:val="Tab3LastColNonGras"/>
              <w:rPr>
                <w:lang w:val="fr-FR"/>
              </w:rPr>
            </w:pPr>
            <w:r>
              <w:rPr>
                <w:lang w:val="fr-FR"/>
              </w:rPr>
              <w:t>0,05</w:t>
            </w:r>
          </w:p>
        </w:tc>
      </w:tr>
      <w:tr w14:paraId="45A456A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A4C4755" w14:textId="77777777">
            <w:pPr>
              <w:pStyle w:val="Tab3FirstColNonGras"/>
              <w:rPr>
                <w:lang w:val="fr-FR"/>
              </w:rPr>
            </w:pPr>
            <w:r>
              <w:rPr>
                <w:lang w:val="fr-FR"/>
              </w:rPr>
              <w:t>VONOVIA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B5955B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D3AB635" w14:textId="77777777">
            <w:pPr>
              <w:pStyle w:val="Tab3MiddleColNonGras"/>
              <w:rPr>
                <w:lang w:val="fr-FR"/>
              </w:rPr>
            </w:pPr>
            <w:r>
              <w:rPr>
                <w:lang w:val="fr-FR"/>
              </w:rPr>
              <w:t>7 616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06CEFFD" w14:textId="77777777">
            <w:pPr>
              <w:pStyle w:val="Tab3MiddleColNonGras"/>
              <w:rPr>
                <w:lang w:val="fr-FR"/>
              </w:rPr>
            </w:pPr>
            <w:r>
              <w:rPr>
                <w:lang w:val="fr-FR"/>
              </w:rPr>
              <w:t>267 396,64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E3F837E" w14:textId="77777777">
            <w:pPr>
              <w:pStyle w:val="Tab3LastColNonGras"/>
              <w:rPr>
                <w:lang w:val="fr-FR"/>
              </w:rPr>
            </w:pPr>
            <w:r>
              <w:rPr>
                <w:lang w:val="fr-FR"/>
              </w:rPr>
              <w:t>0,08</w:t>
            </w:r>
          </w:p>
        </w:tc>
      </w:tr>
      <w:tr w14:paraId="79F031E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C9D5BB9" w14:textId="77777777">
            <w:pPr>
              <w:pStyle w:val="Tab3FirstColNonGras"/>
              <w:rPr>
                <w:lang w:val="fr-FR"/>
              </w:rPr>
            </w:pPr>
            <w:r>
              <w:rPr>
                <w:lang w:val="fr-FR"/>
              </w:rPr>
              <w:t>ZILLOW GROUP INC - 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BD4A93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86D6B9E" w14:textId="77777777">
            <w:pPr>
              <w:pStyle w:val="Tab3MiddleColNonGras"/>
              <w:rPr>
                <w:lang w:val="fr-FR"/>
              </w:rPr>
            </w:pPr>
            <w:r>
              <w:rPr>
                <w:lang w:val="fr-FR"/>
              </w:rPr>
              <w:t>1 913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8C659CC" w14:textId="77777777">
            <w:pPr>
              <w:pStyle w:val="Tab3MiddleColNonGras"/>
              <w:rPr>
                <w:lang w:val="fr-FR"/>
              </w:rPr>
            </w:pPr>
            <w:r>
              <w:rPr>
                <w:lang w:val="fr-FR"/>
              </w:rPr>
              <w:t>134 005,65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C6FD94D" w14:textId="77777777">
            <w:pPr>
              <w:pStyle w:val="Tab3LastColNonGras"/>
              <w:rPr>
                <w:lang w:val="fr-FR"/>
              </w:rPr>
            </w:pPr>
            <w:r>
              <w:rPr>
                <w:lang w:val="fr-FR"/>
              </w:rPr>
              <w:t>0,04</w:t>
            </w:r>
          </w:p>
        </w:tc>
      </w:tr>
      <w:tr w14:paraId="584E351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0EB7E123" w14:textId="77777777">
            <w:pPr>
              <w:pStyle w:val="Tab1FirstColGras"/>
              <w:rPr>
                <w:lang w:val="fr-FR"/>
              </w:rPr>
            </w:pPr>
            <w:r>
              <w:rPr>
                <w:lang w:val="fr-FR"/>
              </w:rPr>
              <w:t>Grands magasins et autres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3F44AA6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849C4C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510DCE58" w14:textId="77777777">
            <w:pPr>
              <w:pStyle w:val="Tab1MiddleColGras"/>
              <w:rPr>
                <w:lang w:val="fr-FR"/>
              </w:rPr>
            </w:pPr>
            <w:r>
              <w:rPr>
                <w:lang w:val="fr-FR"/>
              </w:rPr>
              <w:t>2 121 698,45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9B1E295" w14:textId="77777777">
            <w:pPr>
              <w:pStyle w:val="Tab1LastColGras"/>
              <w:rPr>
                <w:lang w:val="fr-FR"/>
              </w:rPr>
            </w:pPr>
            <w:r>
              <w:rPr>
                <w:lang w:val="fr-FR"/>
              </w:rPr>
              <w:t>0,61</w:t>
            </w:r>
          </w:p>
        </w:tc>
      </w:tr>
      <w:tr w14:paraId="415C68B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B57675B" w14:textId="77777777">
            <w:pPr>
              <w:pStyle w:val="Tab3FirstColNonGras"/>
              <w:rPr>
                <w:lang w:val="fr-FR"/>
              </w:rPr>
            </w:pPr>
            <w:r>
              <w:rPr>
                <w:lang w:val="fr-FR"/>
              </w:rPr>
              <w:t>DOLLARAMA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324EA25"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A377058" w14:textId="77777777">
            <w:pPr>
              <w:pStyle w:val="Tab3MiddleColNonGras"/>
              <w:rPr>
                <w:lang w:val="fr-FR"/>
              </w:rPr>
            </w:pPr>
            <w:r>
              <w:rPr>
                <w:lang w:val="fr-FR"/>
              </w:rPr>
              <w:t>3 249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BDDD72D" w14:textId="77777777">
            <w:pPr>
              <w:pStyle w:val="Tab3MiddleColNonGras"/>
              <w:rPr>
                <w:lang w:val="fr-FR"/>
              </w:rPr>
            </w:pPr>
            <w:r>
              <w:rPr>
                <w:lang w:val="fr-FR"/>
              </w:rPr>
              <w:t>456 851,08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894D92D" w14:textId="77777777">
            <w:pPr>
              <w:pStyle w:val="Tab3LastColNonGras"/>
              <w:rPr>
                <w:lang w:val="fr-FR"/>
              </w:rPr>
            </w:pPr>
            <w:r>
              <w:rPr>
                <w:lang w:val="fr-FR"/>
              </w:rPr>
              <w:t>0,13</w:t>
            </w:r>
          </w:p>
        </w:tc>
      </w:tr>
      <w:tr w14:paraId="47A3A8A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12923DF" w14:textId="77777777">
            <w:pPr>
              <w:pStyle w:val="Tab3FirstColNonGras"/>
              <w:rPr>
                <w:lang w:val="fr-FR"/>
              </w:rPr>
            </w:pPr>
            <w:r>
              <w:rPr>
                <w:lang w:val="fr-FR"/>
              </w:rPr>
              <w:t>EBAY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251E61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AF6115F" w14:textId="77777777">
            <w:pPr>
              <w:pStyle w:val="Tab3MiddleColNonGras"/>
              <w:rPr>
                <w:lang w:val="fr-FR"/>
              </w:rPr>
            </w:pPr>
            <w:r>
              <w:rPr>
                <w:lang w:val="fr-FR"/>
              </w:rPr>
              <w:t>4 198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D0548BE" w14:textId="77777777">
            <w:pPr>
              <w:pStyle w:val="Tab3MiddleColNonGras"/>
              <w:rPr>
                <w:lang w:val="fr-FR"/>
              </w:rPr>
            </w:pPr>
            <w:r>
              <w:rPr>
                <w:lang w:val="fr-FR"/>
              </w:rPr>
              <w:t>312 583,08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EC49C0F" w14:textId="77777777">
            <w:pPr>
              <w:pStyle w:val="Tab3LastColNonGras"/>
              <w:rPr>
                <w:lang w:val="fr-FR"/>
              </w:rPr>
            </w:pPr>
            <w:r>
              <w:rPr>
                <w:lang w:val="fr-FR"/>
              </w:rPr>
              <w:t>0,09</w:t>
            </w:r>
          </w:p>
        </w:tc>
      </w:tr>
      <w:tr w14:paraId="0CE501A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C8A6AF4" w14:textId="77777777">
            <w:pPr>
              <w:pStyle w:val="Tab3FirstColNonGras"/>
              <w:rPr>
                <w:lang w:val="fr-FR"/>
              </w:rPr>
            </w:pPr>
            <w:r>
              <w:rPr>
                <w:lang w:val="fr-FR"/>
              </w:rPr>
              <w:t>KOBE BUSSAN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53613BF"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6A038AA" w14:textId="77777777">
            <w:pPr>
              <w:pStyle w:val="Tab3MiddleColNonGras"/>
              <w:rPr>
                <w:lang w:val="fr-FR"/>
              </w:rPr>
            </w:pPr>
            <w:r>
              <w:rPr>
                <w:lang w:val="fr-FR"/>
              </w:rPr>
              <w:t>1 700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BAAA706" w14:textId="77777777">
            <w:pPr>
              <w:pStyle w:val="Tab3MiddleColNonGras"/>
              <w:rPr>
                <w:lang w:val="fr-FR"/>
              </w:rPr>
            </w:pPr>
            <w:r>
              <w:rPr>
                <w:lang w:val="fr-FR"/>
              </w:rPr>
              <w:t>52 702,42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CD68625" w14:textId="77777777">
            <w:pPr>
              <w:pStyle w:val="Tab3LastColNonGras"/>
              <w:rPr>
                <w:lang w:val="fr-FR"/>
              </w:rPr>
            </w:pPr>
            <w:r>
              <w:rPr>
                <w:lang w:val="fr-FR"/>
              </w:rPr>
              <w:t>0,02</w:t>
            </w:r>
          </w:p>
        </w:tc>
      </w:tr>
      <w:tr w14:paraId="763805F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87E0138" w14:textId="77777777">
            <w:pPr>
              <w:pStyle w:val="Tab3FirstColNonGras"/>
              <w:rPr>
                <w:lang w:val="fr-FR"/>
              </w:rPr>
            </w:pPr>
            <w:r>
              <w:rPr>
                <w:lang w:val="fr-FR"/>
              </w:rPr>
              <w:t>NEXT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501A41A"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B013C5B" w14:textId="77777777">
            <w:pPr>
              <w:pStyle w:val="Tab3MiddleColNonGras"/>
              <w:rPr>
                <w:lang w:val="fr-FR"/>
              </w:rPr>
            </w:pPr>
            <w:r>
              <w:rPr>
                <w:lang w:val="fr-FR"/>
              </w:rPr>
              <w:t>1 388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97550C5" w14:textId="77777777">
            <w:pPr>
              <w:pStyle w:val="Tab3MiddleColNonGras"/>
              <w:rPr>
                <w:lang w:val="fr-FR"/>
              </w:rPr>
            </w:pPr>
            <w:r>
              <w:rPr>
                <w:lang w:val="fr-FR"/>
              </w:rPr>
              <w:t>236 616,15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4A843A5" w14:textId="77777777">
            <w:pPr>
              <w:pStyle w:val="Tab3LastColNonGras"/>
              <w:rPr>
                <w:lang w:val="fr-FR"/>
              </w:rPr>
            </w:pPr>
            <w:r>
              <w:rPr>
                <w:lang w:val="fr-FR"/>
              </w:rPr>
              <w:t>0,07</w:t>
            </w:r>
          </w:p>
        </w:tc>
      </w:tr>
      <w:tr w14:paraId="1DCD4B0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E4A3D88" w14:textId="77777777">
            <w:pPr>
              <w:pStyle w:val="Tab3FirstColNonGras"/>
              <w:rPr>
                <w:lang w:val="fr-FR"/>
              </w:rPr>
            </w:pPr>
            <w:r>
              <w:rPr>
                <w:lang w:val="fr-FR"/>
              </w:rPr>
              <w:t>PAN PACIFIC INTERNATIONAL HO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1277208"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14E7EC3" w14:textId="77777777">
            <w:pPr>
              <w:pStyle w:val="Tab3MiddleColNonGras"/>
              <w:rPr>
                <w:lang w:val="fr-FR"/>
              </w:rPr>
            </w:pPr>
            <w:r>
              <w:rPr>
                <w:lang w:val="fr-FR"/>
              </w:rPr>
              <w:t>4 200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B61E138" w14:textId="77777777">
            <w:pPr>
              <w:pStyle w:val="Tab3MiddleColNonGras"/>
              <w:rPr>
                <w:lang w:val="fr-FR"/>
              </w:rPr>
            </w:pPr>
            <w:r>
              <w:rPr>
                <w:lang w:val="fr-FR"/>
              </w:rPr>
              <w:t>144 191,92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50A0E23" w14:textId="77777777">
            <w:pPr>
              <w:pStyle w:val="Tab3LastColNonGras"/>
              <w:rPr>
                <w:lang w:val="fr-FR"/>
              </w:rPr>
            </w:pPr>
            <w:r>
              <w:rPr>
                <w:lang w:val="fr-FR"/>
              </w:rPr>
              <w:t>0,04</w:t>
            </w:r>
          </w:p>
        </w:tc>
      </w:tr>
      <w:tr w14:paraId="1DA971B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7C41E30" w14:textId="77777777">
            <w:pPr>
              <w:pStyle w:val="Tab3FirstColNonGras"/>
              <w:rPr>
                <w:lang w:val="fr-FR"/>
              </w:rPr>
            </w:pPr>
            <w:r>
              <w:rPr>
                <w:lang w:val="fr-FR"/>
              </w:rPr>
              <w:t>PROSUS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9C6FEB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2258B52" w14:textId="77777777">
            <w:pPr>
              <w:pStyle w:val="Tab3MiddleColNonGras"/>
              <w:rPr>
                <w:lang w:val="fr-FR"/>
              </w:rPr>
            </w:pPr>
            <w:r>
              <w:rPr>
                <w:lang w:val="fr-FR"/>
              </w:rPr>
              <w:t>14 984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55E730C" w14:textId="77777777">
            <w:pPr>
              <w:pStyle w:val="Tab3MiddleColNonGras"/>
              <w:rPr>
                <w:lang w:val="fr-FR"/>
              </w:rPr>
            </w:pPr>
            <w:r>
              <w:rPr>
                <w:lang w:val="fr-FR"/>
              </w:rPr>
              <w:t>834 948,33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3707E48" w14:textId="77777777">
            <w:pPr>
              <w:pStyle w:val="Tab3LastColNonGras"/>
              <w:rPr>
                <w:lang w:val="fr-FR"/>
              </w:rPr>
            </w:pPr>
            <w:r>
              <w:rPr>
                <w:lang w:val="fr-FR"/>
              </w:rPr>
              <w:t>0,24</w:t>
            </w:r>
          </w:p>
        </w:tc>
      </w:tr>
      <w:tr w14:paraId="0251E21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87C3FFE" w14:textId="77777777">
            <w:pPr>
              <w:pStyle w:val="Tab3FirstColNonGras"/>
              <w:rPr>
                <w:lang w:val="fr-FR"/>
              </w:rPr>
            </w:pPr>
            <w:r>
              <w:rPr>
                <w:lang w:val="fr-FR"/>
              </w:rPr>
              <w:t>RAKUTEN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1AFA3D4"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A2CCA77" w14:textId="77777777">
            <w:pPr>
              <w:pStyle w:val="Tab3MiddleColNonGras"/>
              <w:rPr>
                <w:lang w:val="fr-FR"/>
              </w:rPr>
            </w:pPr>
            <w:r>
              <w:rPr>
                <w:lang w:val="fr-FR"/>
              </w:rPr>
              <w:t>15 200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36017E3" w14:textId="77777777">
            <w:pPr>
              <w:pStyle w:val="Tab3MiddleColNonGras"/>
              <w:rPr>
                <w:lang w:val="fr-FR"/>
              </w:rPr>
            </w:pPr>
            <w:r>
              <w:rPr>
                <w:lang w:val="fr-FR"/>
              </w:rPr>
              <w:t>83 805,47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8814572" w14:textId="77777777">
            <w:pPr>
              <w:pStyle w:val="Tab3LastColNonGras"/>
              <w:rPr>
                <w:lang w:val="fr-FR"/>
              </w:rPr>
            </w:pPr>
            <w:r>
              <w:rPr>
                <w:lang w:val="fr-FR"/>
              </w:rPr>
              <w:t>0,02</w:t>
            </w:r>
          </w:p>
        </w:tc>
      </w:tr>
      <w:tr w14:paraId="26A8A59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A5A2368" w14:textId="77777777">
            <w:pPr>
              <w:pStyle w:val="Tab1FirstColGras"/>
              <w:rPr>
                <w:lang w:val="fr-FR"/>
              </w:rPr>
            </w:pPr>
            <w:r>
              <w:rPr>
                <w:lang w:val="fr-FR"/>
              </w:rPr>
              <w:t>Grossistes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0F0D0AF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026ADA2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5840195B" w14:textId="77777777">
            <w:pPr>
              <w:pStyle w:val="Tab1MiddleColGras"/>
              <w:rPr>
                <w:lang w:val="fr-FR"/>
              </w:rPr>
            </w:pPr>
            <w:r>
              <w:rPr>
                <w:lang w:val="fr-FR"/>
              </w:rPr>
              <w:t>93 792,45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E199652" w14:textId="77777777">
            <w:pPr>
              <w:pStyle w:val="Tab1LastColGras"/>
              <w:rPr>
                <w:lang w:val="fr-FR"/>
              </w:rPr>
            </w:pPr>
            <w:r>
              <w:rPr>
                <w:lang w:val="fr-FR"/>
              </w:rPr>
              <w:t>0,03</w:t>
            </w:r>
          </w:p>
        </w:tc>
      </w:tr>
      <w:tr w14:paraId="358E692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EE5C84F" w14:textId="77777777">
            <w:pPr>
              <w:pStyle w:val="Tab3FirstColNonGras"/>
              <w:rPr>
                <w:lang w:val="fr-FR"/>
              </w:rPr>
            </w:pPr>
            <w:r>
              <w:rPr>
                <w:lang w:val="fr-FR"/>
              </w:rPr>
              <w:t>AUTO TRADER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0423D7D"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83DC67E" w14:textId="77777777">
            <w:pPr>
              <w:pStyle w:val="Tab3MiddleColNonGras"/>
              <w:rPr>
                <w:lang w:val="fr-FR"/>
              </w:rPr>
            </w:pPr>
            <w:r>
              <w:rPr>
                <w:lang w:val="fr-FR"/>
              </w:rPr>
              <w:t>3 940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4F4A0B3" w14:textId="77777777">
            <w:pPr>
              <w:pStyle w:val="Tab3MiddleColNonGras"/>
              <w:rPr>
                <w:lang w:val="fr-FR"/>
              </w:rPr>
            </w:pPr>
            <w:r>
              <w:rPr>
                <w:lang w:val="fr-FR"/>
              </w:rPr>
              <w:t>44 511,14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7C5AD19" w14:textId="77777777">
            <w:pPr>
              <w:pStyle w:val="Tab3LastColNonGras"/>
              <w:rPr>
                <w:lang w:val="fr-FR"/>
              </w:rPr>
            </w:pPr>
            <w:r>
              <w:rPr>
                <w:lang w:val="fr-FR"/>
              </w:rPr>
              <w:t>0,02</w:t>
            </w:r>
          </w:p>
        </w:tc>
      </w:tr>
      <w:tr w14:paraId="226C164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364EB8A" w14:textId="77777777">
            <w:pPr>
              <w:pStyle w:val="Tab3FirstColNonGras"/>
              <w:rPr>
                <w:lang w:val="fr-FR"/>
              </w:rPr>
            </w:pPr>
            <w:r>
              <w:rPr>
                <w:lang w:val="fr-FR"/>
              </w:rPr>
              <w:t>D'IETEREN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1ACD5F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E992D7D" w14:textId="77777777">
            <w:pPr>
              <w:pStyle w:val="Tab3MiddleColNonGras"/>
              <w:rPr>
                <w:lang w:val="fr-FR"/>
              </w:rPr>
            </w:pPr>
            <w:r>
              <w:rPr>
                <w:lang w:val="fr-FR"/>
              </w:rPr>
              <w:t>67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572D632" w14:textId="77777777">
            <w:pPr>
              <w:pStyle w:val="Tab3MiddleColNonGras"/>
              <w:rPr>
                <w:lang w:val="fr-FR"/>
              </w:rPr>
            </w:pPr>
            <w:r>
              <w:rPr>
                <w:lang w:val="fr-FR"/>
              </w:rPr>
              <w:t>14 345,39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190286F" w14:textId="77777777">
            <w:pPr>
              <w:pStyle w:val="Tab3LastColNonGras"/>
              <w:rPr>
                <w:lang w:val="fr-FR"/>
              </w:rPr>
            </w:pPr>
            <w:r>
              <w:rPr>
                <w:lang w:val="fr-FR"/>
              </w:rPr>
              <w:t>0,00</w:t>
            </w:r>
          </w:p>
        </w:tc>
      </w:tr>
      <w:tr w14:paraId="473135B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7A031A2" w14:textId="77777777">
            <w:pPr>
              <w:pStyle w:val="Tab3FirstColNonGras"/>
              <w:rPr>
                <w:lang w:val="fr-FR"/>
              </w:rPr>
            </w:pPr>
            <w:r>
              <w:rPr>
                <w:lang w:val="fr-FR"/>
              </w:rPr>
              <w:t>JD SPORTS FASHION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79CED64"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A4BF17D" w14:textId="77777777">
            <w:pPr>
              <w:pStyle w:val="Tab3MiddleColNonGras"/>
              <w:rPr>
                <w:lang w:val="fr-FR"/>
              </w:rPr>
            </w:pPr>
            <w:r>
              <w:rPr>
                <w:lang w:val="fr-FR"/>
              </w:rPr>
              <w:t>8 703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E7C3248" w14:textId="77777777">
            <w:pPr>
              <w:pStyle w:val="Tab3MiddleColNonGras"/>
              <w:rPr>
                <w:lang w:val="fr-FR"/>
              </w:rPr>
            </w:pPr>
            <w:r>
              <w:rPr>
                <w:lang w:val="fr-FR"/>
              </w:rPr>
              <w:t>10 583,34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DA1E73E" w14:textId="77777777">
            <w:pPr>
              <w:pStyle w:val="Tab3LastColNonGras"/>
              <w:rPr>
                <w:lang w:val="fr-FR"/>
              </w:rPr>
            </w:pPr>
            <w:r>
              <w:rPr>
                <w:lang w:val="fr-FR"/>
              </w:rPr>
              <w:t>0,00</w:t>
            </w:r>
          </w:p>
        </w:tc>
      </w:tr>
      <w:tr w14:paraId="0550AA5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5E6F251" w14:textId="77777777">
            <w:pPr>
              <w:pStyle w:val="Tab3FirstColNonGras"/>
              <w:rPr>
                <w:lang w:val="fr-FR"/>
              </w:rPr>
            </w:pPr>
            <w:r>
              <w:rPr>
                <w:lang w:val="fr-FR"/>
              </w:rPr>
              <w:t>LKQ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7EAEDC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AB10220" w14:textId="77777777">
            <w:pPr>
              <w:pStyle w:val="Tab3MiddleColNonGras"/>
              <w:rPr>
                <w:lang w:val="fr-FR"/>
              </w:rPr>
            </w:pPr>
            <w:r>
              <w:rPr>
                <w:lang w:val="fr-FR"/>
              </w:rPr>
              <w:t>658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3AB51C1" w14:textId="77777777">
            <w:pPr>
              <w:pStyle w:val="Tab3MiddleColNonGras"/>
              <w:rPr>
                <w:lang w:val="fr-FR"/>
              </w:rPr>
            </w:pPr>
            <w:r>
              <w:rPr>
                <w:lang w:val="fr-FR"/>
              </w:rPr>
              <w:t>24 352,58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E6C2192" w14:textId="77777777">
            <w:pPr>
              <w:pStyle w:val="Tab3LastColNonGras"/>
              <w:rPr>
                <w:lang w:val="fr-FR"/>
              </w:rPr>
            </w:pPr>
            <w:r>
              <w:rPr>
                <w:lang w:val="fr-FR"/>
              </w:rPr>
              <w:t>0,01</w:t>
            </w:r>
          </w:p>
        </w:tc>
      </w:tr>
      <w:tr w14:paraId="52C5EDB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02A2BBD2" w14:textId="77777777">
            <w:pPr>
              <w:pStyle w:val="Tab1FirstColGras"/>
              <w:rPr>
                <w:lang w:val="fr-FR"/>
              </w:rPr>
            </w:pPr>
            <w:r>
              <w:rPr>
                <w:lang w:val="fr-FR"/>
              </w:rPr>
              <w:t>Hôtels, restaurants et loisirs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380C2B5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5E6E64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461DC59B" w14:textId="77777777">
            <w:pPr>
              <w:pStyle w:val="Tab1MiddleColGras"/>
              <w:rPr>
                <w:lang w:val="fr-FR"/>
              </w:rPr>
            </w:pPr>
            <w:r>
              <w:rPr>
                <w:lang w:val="fr-FR"/>
              </w:rPr>
              <w:t>4 141 432,98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F329688" w14:textId="77777777">
            <w:pPr>
              <w:pStyle w:val="Tab1LastColGras"/>
              <w:rPr>
                <w:lang w:val="fr-FR"/>
              </w:rPr>
            </w:pPr>
            <w:r>
              <w:rPr>
                <w:lang w:val="fr-FR"/>
              </w:rPr>
              <w:t>1,19</w:t>
            </w:r>
          </w:p>
        </w:tc>
      </w:tr>
      <w:tr w14:paraId="2E84156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E3C9D1C" w14:textId="77777777">
            <w:pPr>
              <w:pStyle w:val="Tab3FirstColNonGras"/>
              <w:rPr>
                <w:lang w:val="fr-FR"/>
              </w:rPr>
            </w:pPr>
            <w:r>
              <w:rPr>
                <w:lang w:val="fr-FR"/>
              </w:rPr>
              <w:t>AIRBNB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663EDA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2A1C9A9" w14:textId="77777777">
            <w:pPr>
              <w:pStyle w:val="Tab3MiddleColNonGras"/>
              <w:rPr>
                <w:lang w:val="fr-FR"/>
              </w:rPr>
            </w:pPr>
            <w:r>
              <w:rPr>
                <w:lang w:val="fr-FR"/>
              </w:rPr>
              <w:t>2 191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3C21AA2" w14:textId="77777777">
            <w:pPr>
              <w:pStyle w:val="Tab3MiddleColNonGras"/>
              <w:rPr>
                <w:lang w:val="fr-FR"/>
              </w:rPr>
            </w:pPr>
            <w:r>
              <w:rPr>
                <w:lang w:val="fr-FR"/>
              </w:rPr>
              <w:t>289 956,94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8848236" w14:textId="77777777">
            <w:pPr>
              <w:pStyle w:val="Tab3LastColNonGras"/>
              <w:rPr>
                <w:lang w:val="fr-FR"/>
              </w:rPr>
            </w:pPr>
            <w:r>
              <w:rPr>
                <w:lang w:val="fr-FR"/>
              </w:rPr>
              <w:t>0,08</w:t>
            </w:r>
          </w:p>
        </w:tc>
      </w:tr>
      <w:tr w14:paraId="1226067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C36DF33" w14:textId="77777777">
            <w:pPr>
              <w:pStyle w:val="Tab3FirstColNonGras"/>
              <w:rPr>
                <w:lang w:val="fr-FR"/>
              </w:rPr>
            </w:pPr>
            <w:r>
              <w:rPr>
                <w:lang w:val="fr-FR"/>
              </w:rPr>
              <w:t>AMADEUS IT GROUP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01D70E3"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4806147" w14:textId="77777777">
            <w:pPr>
              <w:pStyle w:val="Tab3MiddleColNonGras"/>
              <w:rPr>
                <w:lang w:val="fr-FR"/>
              </w:rPr>
            </w:pPr>
            <w:r>
              <w:rPr>
                <w:lang w:val="fr-FR"/>
              </w:rPr>
              <w:t>2 208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C2085BC" w14:textId="77777777">
            <w:pPr>
              <w:pStyle w:val="Tab3MiddleColNonGras"/>
              <w:rPr>
                <w:lang w:val="fr-FR"/>
              </w:rPr>
            </w:pPr>
            <w:r>
              <w:rPr>
                <w:lang w:val="fr-FR"/>
              </w:rPr>
              <w:t>185 266,21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6B75434" w14:textId="77777777">
            <w:pPr>
              <w:pStyle w:val="Tab3LastColNonGras"/>
              <w:rPr>
                <w:lang w:val="fr-FR"/>
              </w:rPr>
            </w:pPr>
            <w:r>
              <w:rPr>
                <w:lang w:val="fr-FR"/>
              </w:rPr>
              <w:t>0,05</w:t>
            </w:r>
          </w:p>
        </w:tc>
      </w:tr>
      <w:tr w14:paraId="560A35C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7D3BAB5" w14:textId="77777777">
            <w:pPr>
              <w:pStyle w:val="Tab3FirstColNonGras"/>
              <w:rPr>
                <w:lang w:val="fr-FR"/>
              </w:rPr>
            </w:pPr>
            <w:r>
              <w:rPr>
                <w:lang w:val="fr-FR"/>
              </w:rPr>
              <w:t>ARISTOCRAT LEISURE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0AE8EAA"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3A3F296" w14:textId="77777777">
            <w:pPr>
              <w:pStyle w:val="Tab3MiddleColNonGras"/>
              <w:rPr>
                <w:lang w:val="fr-FR"/>
              </w:rPr>
            </w:pPr>
            <w:r>
              <w:rPr>
                <w:lang w:val="fr-FR"/>
              </w:rPr>
              <w:t>2 983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39E54CF" w14:textId="77777777">
            <w:pPr>
              <w:pStyle w:val="Tab3MiddleColNonGras"/>
              <w:rPr>
                <w:lang w:val="fr-FR"/>
              </w:rPr>
            </w:pPr>
            <w:r>
              <w:rPr>
                <w:lang w:val="fr-FR"/>
              </w:rPr>
              <w:t>127 403,58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C286DD5" w14:textId="77777777">
            <w:pPr>
              <w:pStyle w:val="Tab3LastColNonGras"/>
              <w:rPr>
                <w:lang w:val="fr-FR"/>
              </w:rPr>
            </w:pPr>
            <w:r>
              <w:rPr>
                <w:lang w:val="fr-FR"/>
              </w:rPr>
              <w:t>0,04</w:t>
            </w:r>
          </w:p>
        </w:tc>
      </w:tr>
      <w:tr w14:paraId="72B9482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0BD21DA" w14:textId="77777777">
            <w:pPr>
              <w:pStyle w:val="Tab3FirstColNonGras"/>
              <w:rPr>
                <w:lang w:val="fr-FR"/>
              </w:rPr>
            </w:pPr>
            <w:r>
              <w:rPr>
                <w:lang w:val="fr-FR"/>
              </w:rPr>
              <w:t>CHIPOTLE MEXICAN GRILL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2C881E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12BA533" w14:textId="77777777">
            <w:pPr>
              <w:pStyle w:val="Tab3MiddleColNonGras"/>
              <w:rPr>
                <w:lang w:val="fr-FR"/>
              </w:rPr>
            </w:pPr>
            <w:r>
              <w:rPr>
                <w:lang w:val="fr-FR"/>
              </w:rPr>
              <w:t>6 515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26D7729" w14:textId="77777777">
            <w:pPr>
              <w:pStyle w:val="Tab3MiddleColNonGras"/>
              <w:rPr>
                <w:lang w:val="fr-FR"/>
              </w:rPr>
            </w:pPr>
            <w:r>
              <w:rPr>
                <w:lang w:val="fr-FR"/>
              </w:rPr>
              <w:t>365 817,25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C812D72" w14:textId="77777777">
            <w:pPr>
              <w:pStyle w:val="Tab3LastColNonGras"/>
              <w:rPr>
                <w:lang w:val="fr-FR"/>
              </w:rPr>
            </w:pPr>
            <w:r>
              <w:rPr>
                <w:lang w:val="fr-FR"/>
              </w:rPr>
              <w:t>0,11</w:t>
            </w:r>
          </w:p>
        </w:tc>
      </w:tr>
      <w:tr w14:paraId="4BF0FDF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912D76A" w14:textId="77777777">
            <w:pPr>
              <w:pStyle w:val="Tab3FirstColNonGras"/>
              <w:rPr>
                <w:lang w:val="fr-FR"/>
              </w:rPr>
            </w:pPr>
            <w:r>
              <w:rPr>
                <w:lang w:val="fr-FR"/>
              </w:rPr>
              <w:t>COMPASS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2DEDB17"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A87FC89" w14:textId="77777777">
            <w:pPr>
              <w:pStyle w:val="Tab3MiddleColNonGras"/>
              <w:rPr>
                <w:lang w:val="fr-FR"/>
              </w:rPr>
            </w:pPr>
            <w:r>
              <w:rPr>
                <w:lang w:val="fr-FR"/>
              </w:rPr>
              <w:t>8 163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DF00548" w14:textId="77777777">
            <w:pPr>
              <w:pStyle w:val="Tab3MiddleColNonGras"/>
              <w:rPr>
                <w:lang w:val="fr-FR"/>
              </w:rPr>
            </w:pPr>
            <w:r>
              <w:rPr>
                <w:lang w:val="fr-FR"/>
              </w:rPr>
              <w:t>275 964,67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C07A279" w14:textId="77777777">
            <w:pPr>
              <w:pStyle w:val="Tab3LastColNonGras"/>
              <w:rPr>
                <w:lang w:val="fr-FR"/>
              </w:rPr>
            </w:pPr>
            <w:r>
              <w:rPr>
                <w:lang w:val="fr-FR"/>
              </w:rPr>
              <w:t>0,08</w:t>
            </w:r>
          </w:p>
        </w:tc>
      </w:tr>
      <w:tr w14:paraId="697ADF4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74B7F89" w14:textId="77777777">
            <w:pPr>
              <w:pStyle w:val="Tab3FirstColNonGras"/>
              <w:rPr>
                <w:lang w:val="fr-FR"/>
              </w:rPr>
            </w:pPr>
            <w:r>
              <w:rPr>
                <w:lang w:val="fr-FR"/>
              </w:rPr>
              <w:t>DARDEN RESTAURANTS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6689B5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61B1F50" w14:textId="77777777">
            <w:pPr>
              <w:pStyle w:val="Tab3MiddleColNonGras"/>
              <w:rPr>
                <w:lang w:val="fr-FR"/>
              </w:rPr>
            </w:pPr>
            <w:r>
              <w:rPr>
                <w:lang w:val="fr-FR"/>
              </w:rPr>
              <w:t>563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98CEBF9" w14:textId="77777777">
            <w:pPr>
              <w:pStyle w:val="Tab3MiddleColNonGras"/>
              <w:rPr>
                <w:lang w:val="fr-FR"/>
              </w:rPr>
            </w:pPr>
            <w:r>
              <w:rPr>
                <w:lang w:val="fr-FR"/>
              </w:rPr>
              <w:t>122 717,11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E4573DE" w14:textId="77777777">
            <w:pPr>
              <w:pStyle w:val="Tab3LastColNonGras"/>
              <w:rPr>
                <w:lang w:val="fr-FR"/>
              </w:rPr>
            </w:pPr>
            <w:r>
              <w:rPr>
                <w:lang w:val="fr-FR"/>
              </w:rPr>
              <w:t>0,04</w:t>
            </w:r>
          </w:p>
        </w:tc>
      </w:tr>
      <w:tr w14:paraId="417FB4A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9D428D1" w14:textId="77777777">
            <w:pPr>
              <w:pStyle w:val="Tab3FirstColNonGras"/>
              <w:rPr>
                <w:lang w:val="fr-FR"/>
              </w:rPr>
            </w:pPr>
            <w:r>
              <w:rPr>
                <w:lang w:val="fr-FR"/>
              </w:rPr>
              <w:t>DELIVERY HERO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B2EB01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9265E36" w14:textId="77777777">
            <w:pPr>
              <w:pStyle w:val="Tab3MiddleColNonGras"/>
              <w:rPr>
                <w:lang w:val="fr-FR"/>
              </w:rPr>
            </w:pPr>
            <w:r>
              <w:rPr>
                <w:lang w:val="fr-FR"/>
              </w:rPr>
              <w:t>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FF92120" w14:textId="77777777">
            <w:pPr>
              <w:pStyle w:val="Tab3MiddleColNonGras"/>
              <w:rPr>
                <w:lang w:val="fr-FR"/>
              </w:rPr>
            </w:pPr>
            <w:r>
              <w:rPr>
                <w:lang w:val="fr-FR"/>
              </w:rPr>
              <w:t>53,93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378847F" w14:textId="77777777">
            <w:pPr>
              <w:pStyle w:val="Tab3LastColNonGras"/>
              <w:rPr>
                <w:lang w:val="fr-FR"/>
              </w:rPr>
            </w:pPr>
            <w:r>
              <w:rPr>
                <w:lang w:val="fr-FR"/>
              </w:rPr>
              <w:t>0,00</w:t>
            </w:r>
          </w:p>
        </w:tc>
      </w:tr>
      <w:tr w14:paraId="4D4072D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B41830A" w14:textId="77777777">
            <w:pPr>
              <w:pStyle w:val="Tab3FirstColNonGras"/>
              <w:rPr>
                <w:lang w:val="fr-FR"/>
              </w:rPr>
            </w:pPr>
            <w:r>
              <w:rPr>
                <w:lang w:val="fr-FR"/>
              </w:rPr>
              <w:t>DOMINO'S PIZZA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B4D0ED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63E4F40" w14:textId="77777777">
            <w:pPr>
              <w:pStyle w:val="Tab3MiddleColNonGras"/>
              <w:rPr>
                <w:lang w:val="fr-FR"/>
              </w:rPr>
            </w:pPr>
            <w:r>
              <w:rPr>
                <w:lang w:val="fr-FR"/>
              </w:rPr>
              <w:t>113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F7336AC" w14:textId="77777777">
            <w:pPr>
              <w:pStyle w:val="Tab3MiddleColNonGras"/>
              <w:rPr>
                <w:lang w:val="fr-FR"/>
              </w:rPr>
            </w:pPr>
            <w:r>
              <w:rPr>
                <w:lang w:val="fr-FR"/>
              </w:rPr>
              <w:t>50 917,80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20537F4" w14:textId="77777777">
            <w:pPr>
              <w:pStyle w:val="Tab3LastColNonGras"/>
              <w:rPr>
                <w:lang w:val="fr-FR"/>
              </w:rPr>
            </w:pPr>
            <w:r>
              <w:rPr>
                <w:lang w:val="fr-FR"/>
              </w:rPr>
              <w:t>0,01</w:t>
            </w:r>
          </w:p>
        </w:tc>
      </w:tr>
      <w:tr w14:paraId="234BBFA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C819A69" w14:textId="77777777">
            <w:pPr>
              <w:pStyle w:val="Tab3FirstColNonGras"/>
              <w:rPr>
                <w:lang w:val="fr-FR"/>
              </w:rPr>
            </w:pPr>
            <w:r>
              <w:rPr>
                <w:lang w:val="fr-FR"/>
              </w:rPr>
              <w:t>ENTAIN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30D89DB"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96E7CFC" w14:textId="77777777">
            <w:pPr>
              <w:pStyle w:val="Tab3MiddleColNonGras"/>
              <w:rPr>
                <w:lang w:val="fr-FR"/>
              </w:rPr>
            </w:pPr>
            <w:r>
              <w:rPr>
                <w:lang w:val="fr-FR"/>
              </w:rPr>
              <w:t>5 877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EBDB500" w14:textId="77777777">
            <w:pPr>
              <w:pStyle w:val="Tab3MiddleColNonGras"/>
              <w:rPr>
                <w:lang w:val="fr-FR"/>
              </w:rPr>
            </w:pPr>
            <w:r>
              <w:rPr>
                <w:lang w:val="fr-FR"/>
              </w:rPr>
              <w:t>72 562,96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ED59897" w14:textId="77777777">
            <w:pPr>
              <w:pStyle w:val="Tab3LastColNonGras"/>
              <w:rPr>
                <w:lang w:val="fr-FR"/>
              </w:rPr>
            </w:pPr>
            <w:r>
              <w:rPr>
                <w:lang w:val="fr-FR"/>
              </w:rPr>
              <w:t>0,02</w:t>
            </w:r>
          </w:p>
        </w:tc>
      </w:tr>
    </w:tbl>
    <w:p w:rsidR="001F4AEE" w14:paraId="2C0471F7" w14:textId="77777777">
      <w:pPr>
        <w:sectPr>
          <w:headerReference w:type="default" r:id="rId38"/>
          <w:footerReference w:type="default" r:id="rId39"/>
          <w:pgSz w:w="11900" w:h="16840"/>
          <w:pgMar w:top="2154" w:right="1134" w:bottom="1134" w:left="1134" w:header="400" w:footer="400" w:gutter="0"/>
          <w:cols w:space="720"/>
        </w:sectPr>
      </w:pPr>
    </w:p>
    <w:p w:rsidR="001F4AEE" w14:paraId="4194D3B7" w14:textId="77777777">
      <w:pPr>
        <w:spacing w:line="30" w:lineRule="exact"/>
        <w:rPr>
          <w:sz w:val="3"/>
        </w:rPr>
      </w:pPr>
    </w:p>
    <w:p w:rsidR="001F4AEE" w14:paraId="058AFC29" w14:textId="77777777">
      <w:pPr>
        <w:pStyle w:val="TechnicalBookmark"/>
        <w:rPr>
          <w:lang w:val="fr-FR"/>
        </w:rPr>
      </w:pPr>
      <w:r>
        <w:rPr>
          <w:lang w:val="fr-FR"/>
        </w:rPr>
        <w:fldChar w:fldCharType="begin"/>
      </w:r>
      <w:r>
        <w:rPr>
          <w:lang w:val="fr-FR"/>
        </w:rPr>
        <w:instrText xml:space="preserve"> SET 0F11D76D5E4B25B16E194BB1D7C982BB "" </w:instrText>
      </w:r>
      <w:r>
        <w:rPr>
          <w:lang w:val="fr-FR"/>
        </w:rPr>
        <w:fldChar w:fldCharType="separate"/>
      </w:r>
      <w:bookmarkStart w:id="94" w:name="0F11D76D5E4B25B16E194BB1D7C982BB"/>
      <w:bookmarkEnd w:id="94"/>
      <w:r>
        <w:rPr>
          <w:lang w:val="fr-FR"/>
        </w:rPr>
        <w:fldChar w:fldCharType="end"/>
      </w:r>
    </w:p>
    <w:p w:rsidR="001F4AEE" w14:paraId="3FF85ADB" w14:textId="77777777">
      <w:pPr>
        <w:pStyle w:val="H2"/>
        <w:rPr>
          <w:lang w:val="fr-FR"/>
        </w:rPr>
      </w:pPr>
      <w:r>
        <w:rPr>
          <w:lang w:val="fr-FR"/>
        </w:rPr>
        <w:t xml:space="preserve">Inventaire des éléments de bilan </w:t>
      </w:r>
    </w:p>
    <w:p w:rsidR="001F4AEE" w14:paraId="35C2529C" w14:textId="77777777">
      <w:pPr>
        <w:pStyle w:val="NoRefToc"/>
        <w:rPr>
          <w:lang w:val="fr-FR"/>
        </w:rPr>
      </w:pPr>
    </w:p>
    <w:p w:rsidR="001F4AEE" w14:paraId="7AE7F659" w14:textId="77777777">
      <w:pPr>
        <w:pStyle w:val="TechnicalBookmark"/>
        <w:rPr>
          <w:lang w:val="fr-FR"/>
        </w:rPr>
      </w:pPr>
      <w:r>
        <w:rPr>
          <w:lang w:val="fr-FR"/>
        </w:rPr>
        <w:fldChar w:fldCharType="begin"/>
      </w:r>
      <w:r>
        <w:rPr>
          <w:lang w:val="fr-FR"/>
        </w:rPr>
        <w:instrText xml:space="preserve"> SET 6F4AFCE18830BEF496A82038A1FAC8A6 "" </w:instrText>
      </w:r>
      <w:r>
        <w:rPr>
          <w:lang w:val="fr-FR"/>
        </w:rPr>
        <w:fldChar w:fldCharType="separate"/>
      </w:r>
      <w:bookmarkStart w:id="95" w:name="6F4AFCE18830BEF496A82038A1FAC8A6"/>
      <w:bookmarkEnd w:id="95"/>
      <w:r>
        <w:rPr>
          <w:lang w:val="fr-FR"/>
        </w:rPr>
        <w:fldChar w:fldCharType="end"/>
      </w:r>
    </w:p>
    <w:p w:rsidR="001F4AEE" w14:paraId="2FE29FB5"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7CF4992C"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2415A179"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6CE053B4"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74F81BCB" w14:textId="77777777">
            <w:pPr>
              <w:pStyle w:val="EnteteTabMiddleColBordure"/>
              <w:spacing w:line="184" w:lineRule="exact"/>
              <w:rPr>
                <w:lang w:val="fr-FR"/>
              </w:rPr>
            </w:pPr>
            <w:r>
              <w:rPr>
                <w:lang w:val="fr-FR"/>
              </w:rPr>
              <w:t>Quantité ou</w:t>
            </w:r>
          </w:p>
          <w:p w:rsidR="001F4AEE" w14:paraId="6D4F413D"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1486C32A"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10F9DB6E" w14:textId="77777777">
            <w:pPr>
              <w:pStyle w:val="EnteteTabLastColBordure"/>
              <w:spacing w:line="184" w:lineRule="exact"/>
              <w:rPr>
                <w:lang w:val="fr-FR"/>
              </w:rPr>
            </w:pPr>
            <w:r>
              <w:rPr>
                <w:lang w:val="fr-FR"/>
              </w:rPr>
              <w:t>% Actif</w:t>
            </w:r>
          </w:p>
          <w:p w:rsidR="001F4AEE" w14:paraId="5C63D523" w14:textId="77777777">
            <w:pPr>
              <w:pStyle w:val="EnteteTabLastColBordure"/>
              <w:spacing w:line="184" w:lineRule="exact"/>
              <w:rPr>
                <w:lang w:val="fr-FR"/>
              </w:rPr>
            </w:pPr>
            <w:r>
              <w:rPr>
                <w:lang w:val="fr-FR"/>
              </w:rPr>
              <w:t>Net</w:t>
            </w:r>
          </w:p>
        </w:tc>
      </w:tr>
      <w:tr w14:paraId="3571084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EA517AF" w14:textId="77777777">
            <w:pPr>
              <w:pStyle w:val="Tab3FirstColNonGras"/>
              <w:rPr>
                <w:lang w:val="fr-FR"/>
              </w:rPr>
            </w:pPr>
            <w:r>
              <w:rPr>
                <w:lang w:val="fr-FR"/>
              </w:rPr>
              <w:t>FLUTTER ENTERTAINMENT PLC-DI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E8A613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DC0C0F2" w14:textId="77777777">
            <w:pPr>
              <w:pStyle w:val="Tab3MiddleColNonGras"/>
              <w:rPr>
                <w:lang w:val="fr-FR"/>
              </w:rPr>
            </w:pPr>
            <w:r>
              <w:rPr>
                <w:lang w:val="fr-FR"/>
              </w:rPr>
              <w:t>810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6B6B358" w14:textId="77777777">
            <w:pPr>
              <w:pStyle w:val="Tab3MiddleColNonGras"/>
              <w:rPr>
                <w:lang w:val="fr-FR"/>
              </w:rPr>
            </w:pPr>
            <w:r>
              <w:rPr>
                <w:lang w:val="fr-FR"/>
              </w:rPr>
              <w:t>231 465,60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A0B0FFC" w14:textId="77777777">
            <w:pPr>
              <w:pStyle w:val="Tab3LastColNonGras"/>
              <w:rPr>
                <w:lang w:val="fr-FR"/>
              </w:rPr>
            </w:pPr>
            <w:r>
              <w:rPr>
                <w:lang w:val="fr-FR"/>
              </w:rPr>
              <w:t>0,07</w:t>
            </w:r>
          </w:p>
        </w:tc>
      </w:tr>
      <w:tr w14:paraId="3BDEE12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C58059A" w14:textId="77777777">
            <w:pPr>
              <w:pStyle w:val="Tab3FirstColNonGras"/>
              <w:rPr>
                <w:lang w:val="fr-FR"/>
              </w:rPr>
            </w:pPr>
            <w:r>
              <w:rPr>
                <w:lang w:val="fr-FR"/>
              </w:rPr>
              <w:t>INTERCONTINENTAL HOTELS GROU</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7DBD569"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7970FA2" w14:textId="77777777">
            <w:pPr>
              <w:pStyle w:val="Tab3MiddleColNonGras"/>
              <w:rPr>
                <w:lang w:val="fr-FR"/>
              </w:rPr>
            </w:pPr>
            <w:r>
              <w:rPr>
                <w:lang w:val="fr-FR"/>
              </w:rPr>
              <w:t>665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93FA8AB" w14:textId="77777777">
            <w:pPr>
              <w:pStyle w:val="Tab3MiddleColNonGras"/>
              <w:rPr>
                <w:lang w:val="fr-FR"/>
              </w:rPr>
            </w:pPr>
            <w:r>
              <w:rPr>
                <w:lang w:val="fr-FR"/>
              </w:rPr>
              <w:t>75 673,45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A369AD7" w14:textId="77777777">
            <w:pPr>
              <w:pStyle w:val="Tab3LastColNonGras"/>
              <w:rPr>
                <w:lang w:val="fr-FR"/>
              </w:rPr>
            </w:pPr>
            <w:r>
              <w:rPr>
                <w:lang w:val="fr-FR"/>
              </w:rPr>
              <w:t>0,02</w:t>
            </w:r>
          </w:p>
        </w:tc>
      </w:tr>
      <w:tr w14:paraId="0A39136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0716897" w14:textId="77777777">
            <w:pPr>
              <w:pStyle w:val="Tab3FirstColNonGras"/>
              <w:rPr>
                <w:lang w:val="fr-FR"/>
              </w:rPr>
            </w:pPr>
            <w:r>
              <w:rPr>
                <w:lang w:val="fr-FR"/>
              </w:rPr>
              <w:t>LA FRANCAISE DES JEUX UNITED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9C6629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AC20151" w14:textId="77777777">
            <w:pPr>
              <w:pStyle w:val="Tab3MiddleColNonGras"/>
              <w:rPr>
                <w:lang w:val="fr-FR"/>
              </w:rPr>
            </w:pPr>
            <w:r>
              <w:rPr>
                <w:lang w:val="fr-FR"/>
              </w:rPr>
              <w:t>627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FB969EC" w14:textId="77777777">
            <w:pPr>
              <w:pStyle w:val="Tab3MiddleColNonGras"/>
              <w:rPr>
                <w:lang w:val="fr-FR"/>
              </w:rPr>
            </w:pPr>
            <w:r>
              <w:rPr>
                <w:lang w:val="fr-FR"/>
              </w:rPr>
              <w:t>24 508,93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7217958" w14:textId="77777777">
            <w:pPr>
              <w:pStyle w:val="Tab3LastColNonGras"/>
              <w:rPr>
                <w:lang w:val="fr-FR"/>
              </w:rPr>
            </w:pPr>
            <w:r>
              <w:rPr>
                <w:lang w:val="fr-FR"/>
              </w:rPr>
              <w:t>0,01</w:t>
            </w:r>
          </w:p>
        </w:tc>
      </w:tr>
      <w:tr w14:paraId="074184F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AAA994E" w14:textId="77777777">
            <w:pPr>
              <w:pStyle w:val="Tab3FirstColNonGras"/>
              <w:rPr>
                <w:lang w:val="fr-FR"/>
              </w:rPr>
            </w:pPr>
            <w:r>
              <w:rPr>
                <w:lang w:val="fr-FR"/>
              </w:rPr>
              <w:t>LAS VEGAS SANDS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DC8305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3F31567" w14:textId="77777777">
            <w:pPr>
              <w:pStyle w:val="Tab3MiddleColNonGras"/>
              <w:rPr>
                <w:lang w:val="fr-FR"/>
              </w:rPr>
            </w:pPr>
            <w:r>
              <w:rPr>
                <w:lang w:val="fr-FR"/>
              </w:rPr>
              <w:t>1 309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F88F92B" w14:textId="77777777">
            <w:pPr>
              <w:pStyle w:val="Tab3MiddleColNonGras"/>
              <w:rPr>
                <w:lang w:val="fr-FR"/>
              </w:rPr>
            </w:pPr>
            <w:r>
              <w:rPr>
                <w:lang w:val="fr-FR"/>
              </w:rPr>
              <w:t>56 954,59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4CBBDEA" w14:textId="77777777">
            <w:pPr>
              <w:pStyle w:val="Tab3LastColNonGras"/>
              <w:rPr>
                <w:lang w:val="fr-FR"/>
              </w:rPr>
            </w:pPr>
            <w:r>
              <w:rPr>
                <w:lang w:val="fr-FR"/>
              </w:rPr>
              <w:t>0,02</w:t>
            </w:r>
          </w:p>
        </w:tc>
      </w:tr>
      <w:tr w14:paraId="3E8F0A1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795B73D" w14:textId="77777777">
            <w:pPr>
              <w:pStyle w:val="Tab3FirstColNonGras"/>
              <w:rPr>
                <w:lang w:val="fr-FR"/>
              </w:rPr>
            </w:pPr>
            <w:r>
              <w:rPr>
                <w:lang w:val="fr-FR"/>
              </w:rPr>
              <w:t>LOTTERY CORP LTD/THE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5A38703"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D7F4EA4" w14:textId="77777777">
            <w:pPr>
              <w:pStyle w:val="Tab3MiddleColNonGras"/>
              <w:rPr>
                <w:lang w:val="fr-FR"/>
              </w:rPr>
            </w:pPr>
            <w:r>
              <w:rPr>
                <w:lang w:val="fr-FR"/>
              </w:rPr>
              <w:t>3 905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7F8A72C" w14:textId="77777777">
            <w:pPr>
              <w:pStyle w:val="Tab3MiddleColNonGras"/>
              <w:rPr>
                <w:lang w:val="fr-FR"/>
              </w:rPr>
            </w:pPr>
            <w:r>
              <w:rPr>
                <w:lang w:val="fr-FR"/>
              </w:rPr>
              <w:t>13 640,46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932024C" w14:textId="77777777">
            <w:pPr>
              <w:pStyle w:val="Tab3LastColNonGras"/>
              <w:rPr>
                <w:lang w:val="fr-FR"/>
              </w:rPr>
            </w:pPr>
            <w:r>
              <w:rPr>
                <w:lang w:val="fr-FR"/>
              </w:rPr>
              <w:t>0,00</w:t>
            </w:r>
          </w:p>
        </w:tc>
      </w:tr>
      <w:tr w14:paraId="5AC488E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0838840" w14:textId="77777777">
            <w:pPr>
              <w:pStyle w:val="Tab3FirstColNonGras"/>
              <w:rPr>
                <w:lang w:val="fr-FR"/>
              </w:rPr>
            </w:pPr>
            <w:r>
              <w:rPr>
                <w:lang w:val="fr-FR"/>
              </w:rPr>
              <w:t>MCDONALD'S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10EBBF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D4CEB56" w14:textId="77777777">
            <w:pPr>
              <w:pStyle w:val="Tab3MiddleColNonGras"/>
              <w:rPr>
                <w:lang w:val="fr-FR"/>
              </w:rPr>
            </w:pPr>
            <w:r>
              <w:rPr>
                <w:lang w:val="fr-FR"/>
              </w:rPr>
              <w:t>3 470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AED1378" w14:textId="77777777">
            <w:pPr>
              <w:pStyle w:val="Tab3MiddleColNonGras"/>
              <w:rPr>
                <w:lang w:val="fr-FR"/>
              </w:rPr>
            </w:pPr>
            <w:r>
              <w:rPr>
                <w:lang w:val="fr-FR"/>
              </w:rPr>
              <w:t>1 013 829,90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410922D" w14:textId="77777777">
            <w:pPr>
              <w:pStyle w:val="Tab3LastColNonGras"/>
              <w:rPr>
                <w:lang w:val="fr-FR"/>
              </w:rPr>
            </w:pPr>
            <w:r>
              <w:rPr>
                <w:lang w:val="fr-FR"/>
              </w:rPr>
              <w:t>0,28</w:t>
            </w:r>
          </w:p>
        </w:tc>
      </w:tr>
      <w:tr w14:paraId="496CEAF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0C628B1" w14:textId="77777777">
            <w:pPr>
              <w:pStyle w:val="Tab3FirstColNonGras"/>
              <w:rPr>
                <w:lang w:val="fr-FR"/>
              </w:rPr>
            </w:pPr>
            <w:r>
              <w:rPr>
                <w:lang w:val="fr-FR"/>
              </w:rPr>
              <w:t>ORIENTAL LAND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D13EF69"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0D45234" w14:textId="77777777">
            <w:pPr>
              <w:pStyle w:val="Tab3MiddleColNonGras"/>
              <w:rPr>
                <w:lang w:val="fr-FR"/>
              </w:rPr>
            </w:pPr>
            <w:r>
              <w:rPr>
                <w:lang w:val="fr-FR"/>
              </w:rPr>
              <w:t>6 200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C628488" w14:textId="77777777">
            <w:pPr>
              <w:pStyle w:val="Tab3MiddleColNonGras"/>
              <w:rPr>
                <w:lang w:val="fr-FR"/>
              </w:rPr>
            </w:pPr>
            <w:r>
              <w:rPr>
                <w:lang w:val="fr-FR"/>
              </w:rPr>
              <w:t>142 675,77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A8347F8" w14:textId="77777777">
            <w:pPr>
              <w:pStyle w:val="Tab3LastColNonGras"/>
              <w:rPr>
                <w:lang w:val="fr-FR"/>
              </w:rPr>
            </w:pPr>
            <w:r>
              <w:rPr>
                <w:lang w:val="fr-FR"/>
              </w:rPr>
              <w:t>0,04</w:t>
            </w:r>
          </w:p>
        </w:tc>
      </w:tr>
      <w:tr w14:paraId="77A3E17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27E8820" w14:textId="77777777">
            <w:pPr>
              <w:pStyle w:val="Tab3FirstColNonGras"/>
              <w:rPr>
                <w:lang w:val="fr-FR"/>
              </w:rPr>
            </w:pPr>
            <w:r>
              <w:rPr>
                <w:lang w:val="fr-FR"/>
              </w:rPr>
              <w:t>ROYAL CARIBBEAN CRUISES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B392CA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B722A2D" w14:textId="77777777">
            <w:pPr>
              <w:pStyle w:val="Tab3MiddleColNonGras"/>
              <w:rPr>
                <w:lang w:val="fr-FR"/>
              </w:rPr>
            </w:pPr>
            <w:r>
              <w:rPr>
                <w:lang w:val="fr-FR"/>
              </w:rPr>
              <w:t>1 105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5C8ECC5" w14:textId="77777777">
            <w:pPr>
              <w:pStyle w:val="Tab3MiddleColNonGras"/>
              <w:rPr>
                <w:lang w:val="fr-FR"/>
              </w:rPr>
            </w:pPr>
            <w:r>
              <w:rPr>
                <w:lang w:val="fr-FR"/>
              </w:rPr>
              <w:t>346 019,70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8301509" w14:textId="77777777">
            <w:pPr>
              <w:pStyle w:val="Tab3LastColNonGras"/>
              <w:rPr>
                <w:lang w:val="fr-FR"/>
              </w:rPr>
            </w:pPr>
            <w:r>
              <w:rPr>
                <w:lang w:val="fr-FR"/>
              </w:rPr>
              <w:t>0,10</w:t>
            </w:r>
          </w:p>
        </w:tc>
      </w:tr>
      <w:tr w14:paraId="0E231A7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50CB0D2" w14:textId="77777777">
            <w:pPr>
              <w:pStyle w:val="Tab3FirstColNonGras"/>
              <w:rPr>
                <w:lang w:val="fr-FR"/>
              </w:rPr>
            </w:pPr>
            <w:r>
              <w:rPr>
                <w:lang w:val="fr-FR"/>
              </w:rPr>
              <w:t>SODEXO SA-PF-2028</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2E8636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83A043E" w14:textId="77777777">
            <w:pPr>
              <w:pStyle w:val="Tab3MiddleColNonGras"/>
              <w:rPr>
                <w:lang w:val="fr-FR"/>
              </w:rPr>
            </w:pPr>
            <w:r>
              <w:rPr>
                <w:lang w:val="fr-FR"/>
              </w:rPr>
              <w:t>463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4C17D3E" w14:textId="77777777">
            <w:pPr>
              <w:pStyle w:val="Tab3MiddleColNonGras"/>
              <w:rPr>
                <w:lang w:val="fr-FR"/>
              </w:rPr>
            </w:pPr>
            <w:r>
              <w:rPr>
                <w:lang w:val="fr-FR"/>
              </w:rPr>
              <w:t>28 370,31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DEE6847" w14:textId="77777777">
            <w:pPr>
              <w:pStyle w:val="Tab3LastColNonGras"/>
              <w:rPr>
                <w:lang w:val="fr-FR"/>
              </w:rPr>
            </w:pPr>
            <w:r>
              <w:rPr>
                <w:lang w:val="fr-FR"/>
              </w:rPr>
              <w:t>0,01</w:t>
            </w:r>
          </w:p>
        </w:tc>
      </w:tr>
      <w:tr w14:paraId="7DE4D63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3BB7403" w14:textId="77777777">
            <w:pPr>
              <w:pStyle w:val="Tab3FirstColNonGras"/>
              <w:rPr>
                <w:lang w:val="fr-FR"/>
              </w:rPr>
            </w:pPr>
            <w:r>
              <w:rPr>
                <w:lang w:val="fr-FR"/>
              </w:rPr>
              <w:t>STARBUCKS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95E920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C15B30C" w14:textId="77777777">
            <w:pPr>
              <w:pStyle w:val="Tab3MiddleColNonGras"/>
              <w:rPr>
                <w:lang w:val="fr-FR"/>
              </w:rPr>
            </w:pPr>
            <w:r>
              <w:rPr>
                <w:lang w:val="fr-FR"/>
              </w:rPr>
              <w:t>5 620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782A15D" w14:textId="77777777">
            <w:pPr>
              <w:pStyle w:val="Tab3MiddleColNonGras"/>
              <w:rPr>
                <w:lang w:val="fr-FR"/>
              </w:rPr>
            </w:pPr>
            <w:r>
              <w:rPr>
                <w:lang w:val="fr-FR"/>
              </w:rPr>
              <w:t>514 960,60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97523A2" w14:textId="77777777">
            <w:pPr>
              <w:pStyle w:val="Tab3LastColNonGras"/>
              <w:rPr>
                <w:lang w:val="fr-FR"/>
              </w:rPr>
            </w:pPr>
            <w:r>
              <w:rPr>
                <w:lang w:val="fr-FR"/>
              </w:rPr>
              <w:t>0,15</w:t>
            </w:r>
          </w:p>
        </w:tc>
      </w:tr>
      <w:tr w14:paraId="7103942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EF9F58F" w14:textId="77777777">
            <w:pPr>
              <w:pStyle w:val="Tab3FirstColNonGras"/>
              <w:rPr>
                <w:lang w:val="fr-FR"/>
              </w:rPr>
            </w:pPr>
            <w:r>
              <w:rPr>
                <w:lang w:val="fr-FR"/>
              </w:rPr>
              <w:t>WHITBREAD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64E4E2E"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51A35BE" w14:textId="77777777">
            <w:pPr>
              <w:pStyle w:val="Tab3MiddleColNonGras"/>
              <w:rPr>
                <w:lang w:val="fr-FR"/>
              </w:rPr>
            </w:pPr>
            <w:r>
              <w:rPr>
                <w:lang w:val="fr-FR"/>
              </w:rPr>
              <w:t>926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98C9D9B" w14:textId="77777777">
            <w:pPr>
              <w:pStyle w:val="Tab3MiddleColNonGras"/>
              <w:rPr>
                <w:lang w:val="fr-FR"/>
              </w:rPr>
            </w:pPr>
            <w:r>
              <w:rPr>
                <w:lang w:val="fr-FR"/>
              </w:rPr>
              <w:t>35 822,54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2870625" w14:textId="77777777">
            <w:pPr>
              <w:pStyle w:val="Tab3LastColNonGras"/>
              <w:rPr>
                <w:lang w:val="fr-FR"/>
              </w:rPr>
            </w:pPr>
            <w:r>
              <w:rPr>
                <w:lang w:val="fr-FR"/>
              </w:rPr>
              <w:t>0,01</w:t>
            </w:r>
          </w:p>
        </w:tc>
      </w:tr>
      <w:tr w14:paraId="53799AD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1588147" w14:textId="77777777">
            <w:pPr>
              <w:pStyle w:val="Tab3FirstColNonGras"/>
              <w:rPr>
                <w:lang w:val="fr-FR"/>
              </w:rPr>
            </w:pPr>
            <w:r>
              <w:rPr>
                <w:lang w:val="fr-FR"/>
              </w:rPr>
              <w:t>YUM BRANDS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B644F3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240DE2E" w14:textId="77777777">
            <w:pPr>
              <w:pStyle w:val="Tab3MiddleColNonGras"/>
              <w:rPr>
                <w:lang w:val="fr-FR"/>
              </w:rPr>
            </w:pPr>
            <w:r>
              <w:rPr>
                <w:lang w:val="fr-FR"/>
              </w:rPr>
              <w:t>1 126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D9870B0" w14:textId="77777777">
            <w:pPr>
              <w:pStyle w:val="Tab3MiddleColNonGras"/>
              <w:rPr>
                <w:lang w:val="fr-FR"/>
              </w:rPr>
            </w:pPr>
            <w:r>
              <w:rPr>
                <w:lang w:val="fr-FR"/>
              </w:rPr>
              <w:t>166 850,68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C27F1F1" w14:textId="77777777">
            <w:pPr>
              <w:pStyle w:val="Tab3LastColNonGras"/>
              <w:rPr>
                <w:lang w:val="fr-FR"/>
              </w:rPr>
            </w:pPr>
            <w:r>
              <w:rPr>
                <w:lang w:val="fr-FR"/>
              </w:rPr>
              <w:t>0,05</w:t>
            </w:r>
          </w:p>
        </w:tc>
      </w:tr>
      <w:tr w14:paraId="1186532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7B371B46" w14:textId="77777777">
            <w:pPr>
              <w:pStyle w:val="Tab1FirstColGras"/>
              <w:rPr>
                <w:lang w:val="fr-FR"/>
              </w:rPr>
            </w:pPr>
            <w:r>
              <w:rPr>
                <w:lang w:val="fr-FR"/>
              </w:rPr>
              <w:t>Immobilier</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0C1E4A7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011B586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111C12FC" w14:textId="77777777">
            <w:pPr>
              <w:pStyle w:val="Tab1MiddleColGras"/>
              <w:rPr>
                <w:lang w:val="fr-FR"/>
              </w:rPr>
            </w:pPr>
            <w:r>
              <w:rPr>
                <w:lang w:val="fr-FR"/>
              </w:rPr>
              <w:t>370 710,13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D1108AA" w14:textId="77777777">
            <w:pPr>
              <w:pStyle w:val="Tab1LastColGras"/>
              <w:rPr>
                <w:lang w:val="fr-FR"/>
              </w:rPr>
            </w:pPr>
            <w:r>
              <w:rPr>
                <w:lang w:val="fr-FR"/>
              </w:rPr>
              <w:t>0,11</w:t>
            </w:r>
          </w:p>
        </w:tc>
      </w:tr>
      <w:tr w14:paraId="2E095C4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931359E" w14:textId="77777777">
            <w:pPr>
              <w:pStyle w:val="Tab3FirstColNonGras"/>
              <w:rPr>
                <w:lang w:val="fr-FR"/>
              </w:rPr>
            </w:pPr>
            <w:r>
              <w:rPr>
                <w:lang w:val="fr-FR"/>
              </w:rPr>
              <w:t>INVITATION HOMES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FE2D38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BDAAA4D" w14:textId="77777777">
            <w:pPr>
              <w:pStyle w:val="Tab3MiddleColNonGras"/>
              <w:rPr>
                <w:lang w:val="fr-FR"/>
              </w:rPr>
            </w:pPr>
            <w:r>
              <w:rPr>
                <w:lang w:val="fr-FR"/>
              </w:rPr>
              <w:t>6 069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EC44342" w14:textId="77777777">
            <w:pPr>
              <w:pStyle w:val="Tab3MiddleColNonGras"/>
              <w:rPr>
                <w:lang w:val="fr-FR"/>
              </w:rPr>
            </w:pPr>
            <w:r>
              <w:rPr>
                <w:lang w:val="fr-FR"/>
              </w:rPr>
              <w:t>199 063,20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A551B68" w14:textId="77777777">
            <w:pPr>
              <w:pStyle w:val="Tab3LastColNonGras"/>
              <w:rPr>
                <w:lang w:val="fr-FR"/>
              </w:rPr>
            </w:pPr>
            <w:r>
              <w:rPr>
                <w:lang w:val="fr-FR"/>
              </w:rPr>
              <w:t>0,06</w:t>
            </w:r>
          </w:p>
        </w:tc>
      </w:tr>
      <w:tr w14:paraId="16B5D5D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826784C" w14:textId="77777777">
            <w:pPr>
              <w:pStyle w:val="Tab3FirstColNonGras"/>
              <w:rPr>
                <w:lang w:val="fr-FR"/>
              </w:rPr>
            </w:pPr>
            <w:r>
              <w:rPr>
                <w:lang w:val="fr-FR"/>
              </w:rPr>
              <w:t>SUN COMMUNITIES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6E1C74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EA726E5" w14:textId="77777777">
            <w:pPr>
              <w:pStyle w:val="Tab3MiddleColNonGras"/>
              <w:rPr>
                <w:lang w:val="fr-FR"/>
              </w:rPr>
            </w:pPr>
            <w:r>
              <w:rPr>
                <w:lang w:val="fr-FR"/>
              </w:rPr>
              <w:t>1 357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D8BDDD5" w14:textId="77777777">
            <w:pPr>
              <w:pStyle w:val="Tab3MiddleColNonGras"/>
              <w:rPr>
                <w:lang w:val="fr-FR"/>
              </w:rPr>
            </w:pPr>
            <w:r>
              <w:rPr>
                <w:lang w:val="fr-FR"/>
              </w:rPr>
              <w:t>171 646,93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9CA0886" w14:textId="77777777">
            <w:pPr>
              <w:pStyle w:val="Tab3LastColNonGras"/>
              <w:rPr>
                <w:lang w:val="fr-FR"/>
              </w:rPr>
            </w:pPr>
            <w:r>
              <w:rPr>
                <w:lang w:val="fr-FR"/>
              </w:rPr>
              <w:t>0,05</w:t>
            </w:r>
          </w:p>
        </w:tc>
      </w:tr>
      <w:tr w14:paraId="3D3F49D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58D99F27" w14:textId="77777777">
            <w:pPr>
              <w:pStyle w:val="Tab1FirstColGras"/>
              <w:rPr>
                <w:lang w:val="fr-FR"/>
              </w:rPr>
            </w:pPr>
            <w:r>
              <w:rPr>
                <w:lang w:val="fr-FR"/>
              </w:rPr>
              <w:t>Industrie aérospatiale et défense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2FBB734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542825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239061F6" w14:textId="77777777">
            <w:pPr>
              <w:pStyle w:val="Tab1MiddleColGras"/>
              <w:rPr>
                <w:lang w:val="fr-FR"/>
              </w:rPr>
            </w:pPr>
            <w:r>
              <w:rPr>
                <w:lang w:val="fr-FR"/>
              </w:rPr>
              <w:t>724 447,50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50ADFF9" w14:textId="77777777">
            <w:pPr>
              <w:pStyle w:val="Tab1LastColGras"/>
              <w:rPr>
                <w:lang w:val="fr-FR"/>
              </w:rPr>
            </w:pPr>
            <w:r>
              <w:rPr>
                <w:lang w:val="fr-FR"/>
              </w:rPr>
              <w:t>0,21</w:t>
            </w:r>
          </w:p>
        </w:tc>
      </w:tr>
      <w:tr w14:paraId="3070996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000BD02" w14:textId="77777777">
            <w:pPr>
              <w:pStyle w:val="Tab3FirstColNonGras"/>
              <w:rPr>
                <w:lang w:val="fr-FR"/>
              </w:rPr>
            </w:pPr>
            <w:r>
              <w:rPr>
                <w:lang w:val="fr-FR"/>
              </w:rPr>
              <w:t>AXON ENTERPRISE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75FD1E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203DB57" w14:textId="77777777">
            <w:pPr>
              <w:pStyle w:val="Tab3MiddleColNonGras"/>
              <w:rPr>
                <w:lang w:val="fr-FR"/>
              </w:rPr>
            </w:pPr>
            <w:r>
              <w:rPr>
                <w:lang w:val="fr-FR"/>
              </w:rPr>
              <w:t>875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9026568" w14:textId="77777777">
            <w:pPr>
              <w:pStyle w:val="Tab3MiddleColNonGras"/>
              <w:rPr>
                <w:lang w:val="fr-FR"/>
              </w:rPr>
            </w:pPr>
            <w:r>
              <w:rPr>
                <w:lang w:val="fr-FR"/>
              </w:rPr>
              <w:t>724 447,50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BF92797" w14:textId="77777777">
            <w:pPr>
              <w:pStyle w:val="Tab3LastColNonGras"/>
              <w:rPr>
                <w:lang w:val="fr-FR"/>
              </w:rPr>
            </w:pPr>
            <w:r>
              <w:rPr>
                <w:lang w:val="fr-FR"/>
              </w:rPr>
              <w:t>0,21</w:t>
            </w:r>
          </w:p>
        </w:tc>
      </w:tr>
      <w:tr w14:paraId="01A2BD7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6ABA048B" w14:textId="77777777">
            <w:pPr>
              <w:pStyle w:val="Tab1FirstColGras"/>
              <w:rPr>
                <w:lang w:val="fr-FR"/>
              </w:rPr>
            </w:pPr>
            <w:r>
              <w:rPr>
                <w:lang w:val="fr-FR"/>
              </w:rPr>
              <w:t>Infrastructure de transports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7D4D398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6A626D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7F2C3A80" w14:textId="77777777">
            <w:pPr>
              <w:pStyle w:val="Tab1MiddleColGras"/>
              <w:rPr>
                <w:lang w:val="fr-FR"/>
              </w:rPr>
            </w:pPr>
            <w:r>
              <w:rPr>
                <w:lang w:val="fr-FR"/>
              </w:rPr>
              <w:t>669 200,52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ECD3623" w14:textId="77777777">
            <w:pPr>
              <w:pStyle w:val="Tab1LastColGras"/>
              <w:rPr>
                <w:lang w:val="fr-FR"/>
              </w:rPr>
            </w:pPr>
            <w:r>
              <w:rPr>
                <w:lang w:val="fr-FR"/>
              </w:rPr>
              <w:t>0,19</w:t>
            </w:r>
          </w:p>
        </w:tc>
      </w:tr>
      <w:tr w14:paraId="3CE1395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B4AAB5C" w14:textId="77777777">
            <w:pPr>
              <w:pStyle w:val="Tab3FirstColNonGras"/>
              <w:rPr>
                <w:lang w:val="fr-FR"/>
              </w:rPr>
            </w:pPr>
            <w:r>
              <w:rPr>
                <w:lang w:val="fr-FR"/>
              </w:rPr>
              <w:t>ADP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A9CC64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B709A7E" w14:textId="77777777">
            <w:pPr>
              <w:pStyle w:val="Tab3MiddleColNonGras"/>
              <w:rPr>
                <w:lang w:val="fr-FR"/>
              </w:rPr>
            </w:pPr>
            <w:r>
              <w:rPr>
                <w:lang w:val="fr-FR"/>
              </w:rPr>
              <w:t>421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9E3ACCA" w14:textId="77777777">
            <w:pPr>
              <w:pStyle w:val="Tab3MiddleColNonGras"/>
              <w:rPr>
                <w:lang w:val="fr-FR"/>
              </w:rPr>
            </w:pPr>
            <w:r>
              <w:rPr>
                <w:lang w:val="fr-FR"/>
              </w:rPr>
              <w:t>52 581,91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E689321" w14:textId="77777777">
            <w:pPr>
              <w:pStyle w:val="Tab3LastColNonGras"/>
              <w:rPr>
                <w:lang w:val="fr-FR"/>
              </w:rPr>
            </w:pPr>
            <w:r>
              <w:rPr>
                <w:lang w:val="fr-FR"/>
              </w:rPr>
              <w:t>0,02</w:t>
            </w:r>
          </w:p>
        </w:tc>
      </w:tr>
      <w:tr w14:paraId="42617C1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761D596" w14:textId="77777777">
            <w:pPr>
              <w:pStyle w:val="Tab3FirstColNonGras"/>
              <w:rPr>
                <w:lang w:val="fr-FR"/>
              </w:rPr>
            </w:pPr>
            <w:r>
              <w:rPr>
                <w:lang w:val="fr-FR"/>
              </w:rPr>
              <w:t>AENA SME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F4BB58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680EF2A" w14:textId="77777777">
            <w:pPr>
              <w:pStyle w:val="Tab3MiddleColNonGras"/>
              <w:rPr>
                <w:lang w:val="fr-FR"/>
              </w:rPr>
            </w:pPr>
            <w:r>
              <w:rPr>
                <w:lang w:val="fr-FR"/>
              </w:rPr>
              <w:t>7 680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B63EB5C" w14:textId="77777777">
            <w:pPr>
              <w:pStyle w:val="Tab3MiddleColNonGras"/>
              <w:rPr>
                <w:lang w:val="fr-FR"/>
              </w:rPr>
            </w:pPr>
            <w:r>
              <w:rPr>
                <w:lang w:val="fr-FR"/>
              </w:rPr>
              <w:t>204 283,71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348FEBE" w14:textId="77777777">
            <w:pPr>
              <w:pStyle w:val="Tab3LastColNonGras"/>
              <w:rPr>
                <w:lang w:val="fr-FR"/>
              </w:rPr>
            </w:pPr>
            <w:r>
              <w:rPr>
                <w:lang w:val="fr-FR"/>
              </w:rPr>
              <w:t>0,06</w:t>
            </w:r>
          </w:p>
        </w:tc>
      </w:tr>
      <w:tr w14:paraId="5B3F4A8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0E2599F" w14:textId="77777777">
            <w:pPr>
              <w:pStyle w:val="Tab3FirstColNonGras"/>
              <w:rPr>
                <w:lang w:val="fr-FR"/>
              </w:rPr>
            </w:pPr>
            <w:r>
              <w:rPr>
                <w:lang w:val="fr-FR"/>
              </w:rPr>
              <w:t>AUCKLAND INTL AIRPORT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694E560" w14:textId="77777777">
            <w:pPr>
              <w:pStyle w:val="Tab1MiddleColNonGrasCentre"/>
              <w:rPr>
                <w:lang w:val="fr-FR"/>
              </w:rPr>
            </w:pPr>
            <w:r>
              <w:rPr>
                <w:lang w:val="fr-FR"/>
              </w:rPr>
              <w:t>NZD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930920E" w14:textId="77777777">
            <w:pPr>
              <w:pStyle w:val="Tab3MiddleColNonGras"/>
              <w:rPr>
                <w:lang w:val="fr-FR"/>
              </w:rPr>
            </w:pPr>
            <w:r>
              <w:rPr>
                <w:lang w:val="fr-FR"/>
              </w:rPr>
              <w:t>16 229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75FF86D" w14:textId="77777777">
            <w:pPr>
              <w:pStyle w:val="Tab3MiddleColNonGras"/>
              <w:rPr>
                <w:lang w:val="fr-FR"/>
              </w:rPr>
            </w:pPr>
            <w:r>
              <w:rPr>
                <w:lang w:val="fr-FR"/>
              </w:rPr>
              <w:t>76 302,14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7CA6987" w14:textId="77777777">
            <w:pPr>
              <w:pStyle w:val="Tab3LastColNonGras"/>
              <w:rPr>
                <w:lang w:val="fr-FR"/>
              </w:rPr>
            </w:pPr>
            <w:r>
              <w:rPr>
                <w:lang w:val="fr-FR"/>
              </w:rPr>
              <w:t>0,02</w:t>
            </w:r>
          </w:p>
        </w:tc>
      </w:tr>
      <w:tr w14:paraId="5A6FF19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61A8811" w14:textId="77777777">
            <w:pPr>
              <w:pStyle w:val="Tab3FirstColNonGras"/>
              <w:rPr>
                <w:lang w:val="fr-FR"/>
              </w:rPr>
            </w:pPr>
            <w:r>
              <w:rPr>
                <w:lang w:val="fr-FR"/>
              </w:rPr>
              <w:t>TRANSURBAN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2E2AD0B"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D157A08" w14:textId="77777777">
            <w:pPr>
              <w:pStyle w:val="Tab3MiddleColNonGras"/>
              <w:rPr>
                <w:lang w:val="fr-FR"/>
              </w:rPr>
            </w:pPr>
            <w:r>
              <w:rPr>
                <w:lang w:val="fr-FR"/>
              </w:rPr>
              <w:t>36 677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BF74220" w14:textId="77777777">
            <w:pPr>
              <w:pStyle w:val="Tab3MiddleColNonGras"/>
              <w:rPr>
                <w:lang w:val="fr-FR"/>
              </w:rPr>
            </w:pPr>
            <w:r>
              <w:rPr>
                <w:lang w:val="fr-FR"/>
              </w:rPr>
              <w:t>336 032,76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7B08876" w14:textId="77777777">
            <w:pPr>
              <w:pStyle w:val="Tab3LastColNonGras"/>
              <w:rPr>
                <w:lang w:val="fr-FR"/>
              </w:rPr>
            </w:pPr>
            <w:r>
              <w:rPr>
                <w:lang w:val="fr-FR"/>
              </w:rPr>
              <w:t>0,09</w:t>
            </w:r>
          </w:p>
        </w:tc>
      </w:tr>
      <w:tr w14:paraId="03569BC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3949FE0" w14:textId="77777777">
            <w:pPr>
              <w:pStyle w:val="Tab1FirstColGras"/>
              <w:rPr>
                <w:lang w:val="fr-FR"/>
              </w:rPr>
            </w:pPr>
            <w:r>
              <w:rPr>
                <w:lang w:val="fr-FR"/>
              </w:rPr>
              <w:t>Logiciels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47C622A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72D1992"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383ABDE5" w14:textId="77777777">
            <w:pPr>
              <w:pStyle w:val="Tab1MiddleColGras"/>
              <w:rPr>
                <w:lang w:val="fr-FR"/>
              </w:rPr>
            </w:pPr>
            <w:r>
              <w:rPr>
                <w:lang w:val="fr-FR"/>
              </w:rPr>
              <w:t>48 764 762,65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093DB73" w14:textId="77777777">
            <w:pPr>
              <w:pStyle w:val="Tab1LastColGras"/>
              <w:rPr>
                <w:lang w:val="fr-FR"/>
              </w:rPr>
            </w:pPr>
            <w:r>
              <w:rPr>
                <w:lang w:val="fr-FR"/>
              </w:rPr>
              <w:t>14,01</w:t>
            </w:r>
          </w:p>
        </w:tc>
      </w:tr>
      <w:tr w14:paraId="741BBD3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CA2E255" w14:textId="77777777">
            <w:pPr>
              <w:pStyle w:val="Tab3FirstColNonGras"/>
              <w:rPr>
                <w:lang w:val="fr-FR"/>
              </w:rPr>
            </w:pPr>
            <w:r>
              <w:rPr>
                <w:lang w:val="fr-FR"/>
              </w:rPr>
              <w:t>ADOBE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FD1A3D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886EAC3" w14:textId="77777777">
            <w:pPr>
              <w:pStyle w:val="Tab3MiddleColNonGras"/>
              <w:rPr>
                <w:lang w:val="fr-FR"/>
              </w:rPr>
            </w:pPr>
            <w:r>
              <w:rPr>
                <w:lang w:val="fr-FR"/>
              </w:rPr>
              <w:t>2 171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AE9004C" w14:textId="77777777">
            <w:pPr>
              <w:pStyle w:val="Tab3MiddleColNonGras"/>
              <w:rPr>
                <w:lang w:val="fr-FR"/>
              </w:rPr>
            </w:pPr>
            <w:r>
              <w:rPr>
                <w:lang w:val="fr-FR"/>
              </w:rPr>
              <w:t>839 916,48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7BD4C0F" w14:textId="77777777">
            <w:pPr>
              <w:pStyle w:val="Tab3LastColNonGras"/>
              <w:rPr>
                <w:lang w:val="fr-FR"/>
              </w:rPr>
            </w:pPr>
            <w:r>
              <w:rPr>
                <w:lang w:val="fr-FR"/>
              </w:rPr>
              <w:t>0,24</w:t>
            </w:r>
          </w:p>
        </w:tc>
      </w:tr>
      <w:tr w14:paraId="23DD83D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7375BD8" w14:textId="77777777">
            <w:pPr>
              <w:pStyle w:val="Tab3FirstColNonGras"/>
              <w:rPr>
                <w:lang w:val="fr-FR"/>
              </w:rPr>
            </w:pPr>
            <w:r>
              <w:rPr>
                <w:lang w:val="fr-FR"/>
              </w:rPr>
              <w:t>ALLEGION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1CB5E6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1F0CB8B" w14:textId="77777777">
            <w:pPr>
              <w:pStyle w:val="Tab3MiddleColNonGras"/>
              <w:rPr>
                <w:lang w:val="fr-FR"/>
              </w:rPr>
            </w:pPr>
            <w:r>
              <w:rPr>
                <w:lang w:val="fr-FR"/>
              </w:rPr>
              <w:t>676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DBD433B" w14:textId="77777777">
            <w:pPr>
              <w:pStyle w:val="Tab3MiddleColNonGras"/>
              <w:rPr>
                <w:lang w:val="fr-FR"/>
              </w:rPr>
            </w:pPr>
            <w:r>
              <w:rPr>
                <w:lang w:val="fr-FR"/>
              </w:rPr>
              <w:t>97 425,12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0C8D699" w14:textId="77777777">
            <w:pPr>
              <w:pStyle w:val="Tab3LastColNonGras"/>
              <w:rPr>
                <w:lang w:val="fr-FR"/>
              </w:rPr>
            </w:pPr>
            <w:r>
              <w:rPr>
                <w:lang w:val="fr-FR"/>
              </w:rPr>
              <w:t>0,03</w:t>
            </w:r>
          </w:p>
        </w:tc>
      </w:tr>
      <w:tr w14:paraId="71450C8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417F4A0" w14:textId="77777777">
            <w:pPr>
              <w:pStyle w:val="Tab3FirstColNonGras"/>
              <w:rPr>
                <w:lang w:val="fr-FR"/>
              </w:rPr>
            </w:pPr>
            <w:r>
              <w:rPr>
                <w:lang w:val="fr-FR"/>
              </w:rPr>
              <w:t>APPLOVIN CORP-CLASS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6105AF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C7EA273" w14:textId="77777777">
            <w:pPr>
              <w:pStyle w:val="Tab3MiddleColNonGras"/>
              <w:rPr>
                <w:lang w:val="fr-FR"/>
              </w:rPr>
            </w:pPr>
            <w:r>
              <w:rPr>
                <w:lang w:val="fr-FR"/>
              </w:rPr>
              <w:t>1 139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12B0520" w14:textId="77777777">
            <w:pPr>
              <w:pStyle w:val="Tab3MiddleColNonGras"/>
              <w:rPr>
                <w:lang w:val="fr-FR"/>
              </w:rPr>
            </w:pPr>
            <w:r>
              <w:rPr>
                <w:lang w:val="fr-FR"/>
              </w:rPr>
              <w:t>398 741,12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A704CF4" w14:textId="77777777">
            <w:pPr>
              <w:pStyle w:val="Tab3LastColNonGras"/>
              <w:rPr>
                <w:lang w:val="fr-FR"/>
              </w:rPr>
            </w:pPr>
            <w:r>
              <w:rPr>
                <w:lang w:val="fr-FR"/>
              </w:rPr>
              <w:t>0,11</w:t>
            </w:r>
          </w:p>
        </w:tc>
      </w:tr>
      <w:tr w14:paraId="517FACB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0FF4F59" w14:textId="77777777">
            <w:pPr>
              <w:pStyle w:val="Tab3FirstColNonGras"/>
              <w:rPr>
                <w:lang w:val="fr-FR"/>
              </w:rPr>
            </w:pPr>
            <w:r>
              <w:rPr>
                <w:lang w:val="fr-FR"/>
              </w:rPr>
              <w:t>ATLASSIAN CORP-CL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D93BFC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8321DB4" w14:textId="77777777">
            <w:pPr>
              <w:pStyle w:val="Tab3MiddleColNonGras"/>
              <w:rPr>
                <w:lang w:val="fr-FR"/>
              </w:rPr>
            </w:pPr>
            <w:r>
              <w:rPr>
                <w:lang w:val="fr-FR"/>
              </w:rPr>
              <w:t>946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5AA357F" w14:textId="77777777">
            <w:pPr>
              <w:pStyle w:val="Tab3MiddleColNonGras"/>
              <w:rPr>
                <w:lang w:val="fr-FR"/>
              </w:rPr>
            </w:pPr>
            <w:r>
              <w:rPr>
                <w:lang w:val="fr-FR"/>
              </w:rPr>
              <w:t>192 123,14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DD2F7F7" w14:textId="77777777">
            <w:pPr>
              <w:pStyle w:val="Tab3LastColNonGras"/>
              <w:rPr>
                <w:lang w:val="fr-FR"/>
              </w:rPr>
            </w:pPr>
            <w:r>
              <w:rPr>
                <w:lang w:val="fr-FR"/>
              </w:rPr>
              <w:t>0,06</w:t>
            </w:r>
          </w:p>
        </w:tc>
      </w:tr>
      <w:tr w14:paraId="3DE7780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A1227ED" w14:textId="77777777">
            <w:pPr>
              <w:pStyle w:val="Tab3FirstColNonGras"/>
              <w:rPr>
                <w:lang w:val="fr-FR"/>
              </w:rPr>
            </w:pPr>
            <w:r>
              <w:rPr>
                <w:lang w:val="fr-FR"/>
              </w:rPr>
              <w:t>AUTODESK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592661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C638CFF" w14:textId="77777777">
            <w:pPr>
              <w:pStyle w:val="Tab3MiddleColNonGras"/>
              <w:rPr>
                <w:lang w:val="fr-FR"/>
              </w:rPr>
            </w:pPr>
            <w:r>
              <w:rPr>
                <w:lang w:val="fr-FR"/>
              </w:rPr>
              <w:t>2 570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224EA28" w14:textId="77777777">
            <w:pPr>
              <w:pStyle w:val="Tab3MiddleColNonGras"/>
              <w:rPr>
                <w:lang w:val="fr-FR"/>
              </w:rPr>
            </w:pPr>
            <w:r>
              <w:rPr>
                <w:lang w:val="fr-FR"/>
              </w:rPr>
              <w:t>795 594,90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D37BA00" w14:textId="77777777">
            <w:pPr>
              <w:pStyle w:val="Tab3LastColNonGras"/>
              <w:rPr>
                <w:lang w:val="fr-FR"/>
              </w:rPr>
            </w:pPr>
            <w:r>
              <w:rPr>
                <w:lang w:val="fr-FR"/>
              </w:rPr>
              <w:t>0,23</w:t>
            </w:r>
          </w:p>
        </w:tc>
      </w:tr>
      <w:tr w14:paraId="4DE325E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73F58AB3" w14:textId="77777777">
            <w:pPr>
              <w:pStyle w:val="Tab3FirstColNonGras"/>
              <w:rPr>
                <w:lang w:val="en-US"/>
              </w:rPr>
            </w:pPr>
            <w:r w:rsidRPr="00D61EB0">
              <w:rPr>
                <w:lang w:val="en-US"/>
              </w:rPr>
              <w:t>BENTLEY SYSTEMS INC-CLASS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DD6D82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62F5C5C" w14:textId="77777777">
            <w:pPr>
              <w:pStyle w:val="Tab3MiddleColNonGras"/>
              <w:rPr>
                <w:lang w:val="fr-FR"/>
              </w:rPr>
            </w:pPr>
            <w:r>
              <w:rPr>
                <w:lang w:val="fr-FR"/>
              </w:rPr>
              <w:t>628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1F7097F" w14:textId="77777777">
            <w:pPr>
              <w:pStyle w:val="Tab3MiddleColNonGras"/>
              <w:rPr>
                <w:lang w:val="fr-FR"/>
              </w:rPr>
            </w:pPr>
            <w:r>
              <w:rPr>
                <w:lang w:val="fr-FR"/>
              </w:rPr>
              <w:t>33 893,16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D33F8F7" w14:textId="77777777">
            <w:pPr>
              <w:pStyle w:val="Tab3LastColNonGras"/>
              <w:rPr>
                <w:lang w:val="fr-FR"/>
              </w:rPr>
            </w:pPr>
            <w:r>
              <w:rPr>
                <w:lang w:val="fr-FR"/>
              </w:rPr>
              <w:t>0,01</w:t>
            </w:r>
          </w:p>
        </w:tc>
      </w:tr>
      <w:tr w14:paraId="3FF4B03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E31D760" w14:textId="77777777">
            <w:pPr>
              <w:pStyle w:val="Tab3FirstColNonGras"/>
              <w:rPr>
                <w:lang w:val="fr-FR"/>
              </w:rPr>
            </w:pPr>
            <w:r>
              <w:rPr>
                <w:lang w:val="fr-FR"/>
              </w:rPr>
              <w:t>BOUYGUES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9204A2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6C9908F" w14:textId="77777777">
            <w:pPr>
              <w:pStyle w:val="Tab3MiddleColNonGras"/>
              <w:rPr>
                <w:lang w:val="fr-FR"/>
              </w:rPr>
            </w:pPr>
            <w:r>
              <w:rPr>
                <w:lang w:val="fr-FR"/>
              </w:rPr>
              <w:t>684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DBBA86C" w14:textId="77777777">
            <w:pPr>
              <w:pStyle w:val="Tab3MiddleColNonGras"/>
              <w:rPr>
                <w:lang w:val="fr-FR"/>
              </w:rPr>
            </w:pPr>
            <w:r>
              <w:rPr>
                <w:lang w:val="fr-FR"/>
              </w:rPr>
              <w:t>30 831,87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3391559" w14:textId="77777777">
            <w:pPr>
              <w:pStyle w:val="Tab3LastColNonGras"/>
              <w:rPr>
                <w:lang w:val="fr-FR"/>
              </w:rPr>
            </w:pPr>
            <w:r>
              <w:rPr>
                <w:lang w:val="fr-FR"/>
              </w:rPr>
              <w:t>0,01</w:t>
            </w:r>
          </w:p>
        </w:tc>
      </w:tr>
      <w:tr w14:paraId="77C337D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9188F90" w14:textId="77777777">
            <w:pPr>
              <w:pStyle w:val="Tab3FirstColNonGras"/>
              <w:rPr>
                <w:lang w:val="fr-FR"/>
              </w:rPr>
            </w:pPr>
            <w:r>
              <w:rPr>
                <w:lang w:val="fr-FR"/>
              </w:rPr>
              <w:t>BURLINGTON STORES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E485B8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8EC508A" w14:textId="77777777">
            <w:pPr>
              <w:pStyle w:val="Tab3MiddleColNonGras"/>
              <w:rPr>
                <w:lang w:val="fr-FR"/>
              </w:rPr>
            </w:pPr>
            <w:r>
              <w:rPr>
                <w:lang w:val="fr-FR"/>
              </w:rPr>
              <w:t>593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CDA99B3" w14:textId="77777777">
            <w:pPr>
              <w:pStyle w:val="Tab3MiddleColNonGras"/>
              <w:rPr>
                <w:lang w:val="fr-FR"/>
              </w:rPr>
            </w:pPr>
            <w:r>
              <w:rPr>
                <w:lang w:val="fr-FR"/>
              </w:rPr>
              <w:t>137 955,52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9471A28" w14:textId="77777777">
            <w:pPr>
              <w:pStyle w:val="Tab3LastColNonGras"/>
              <w:rPr>
                <w:lang w:val="fr-FR"/>
              </w:rPr>
            </w:pPr>
            <w:r>
              <w:rPr>
                <w:lang w:val="fr-FR"/>
              </w:rPr>
              <w:t>0,04</w:t>
            </w:r>
          </w:p>
        </w:tc>
      </w:tr>
      <w:tr w14:paraId="03D5C08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742F021" w14:textId="77777777">
            <w:pPr>
              <w:pStyle w:val="Tab3FirstColNonGras"/>
              <w:rPr>
                <w:lang w:val="fr-FR"/>
              </w:rPr>
            </w:pPr>
            <w:r>
              <w:rPr>
                <w:lang w:val="fr-FR"/>
              </w:rPr>
              <w:t>CADENCE DESIGN SYS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E02E98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0C6653E" w14:textId="77777777">
            <w:pPr>
              <w:pStyle w:val="Tab3MiddleColNonGras"/>
              <w:rPr>
                <w:lang w:val="fr-FR"/>
              </w:rPr>
            </w:pPr>
            <w:r>
              <w:rPr>
                <w:lang w:val="fr-FR"/>
              </w:rPr>
              <w:t>1 412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626DD27" w14:textId="77777777">
            <w:pPr>
              <w:pStyle w:val="Tab3MiddleColNonGras"/>
              <w:rPr>
                <w:lang w:val="fr-FR"/>
              </w:rPr>
            </w:pPr>
            <w:r>
              <w:rPr>
                <w:lang w:val="fr-FR"/>
              </w:rPr>
              <w:t>435 107,80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BFF1501" w14:textId="77777777">
            <w:pPr>
              <w:pStyle w:val="Tab3LastColNonGras"/>
              <w:rPr>
                <w:lang w:val="fr-FR"/>
              </w:rPr>
            </w:pPr>
            <w:r>
              <w:rPr>
                <w:lang w:val="fr-FR"/>
              </w:rPr>
              <w:t>0,12</w:t>
            </w:r>
          </w:p>
        </w:tc>
      </w:tr>
      <w:tr w14:paraId="0EFBC98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A47A394" w14:textId="77777777">
            <w:pPr>
              <w:pStyle w:val="Tab3FirstColNonGras"/>
              <w:rPr>
                <w:lang w:val="fr-FR"/>
              </w:rPr>
            </w:pPr>
            <w:r>
              <w:rPr>
                <w:lang w:val="fr-FR"/>
              </w:rPr>
              <w:t>CCL INDUSTRIES INC - CL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95B48DE"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E076043" w14:textId="77777777">
            <w:pPr>
              <w:pStyle w:val="Tab3MiddleColNonGras"/>
              <w:rPr>
                <w:lang w:val="fr-FR"/>
              </w:rPr>
            </w:pPr>
            <w:r>
              <w:rPr>
                <w:lang w:val="fr-FR"/>
              </w:rPr>
              <w:t>783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C04CE98" w14:textId="77777777">
            <w:pPr>
              <w:pStyle w:val="Tab3MiddleColNonGras"/>
              <w:rPr>
                <w:lang w:val="fr-FR"/>
              </w:rPr>
            </w:pPr>
            <w:r>
              <w:rPr>
                <w:lang w:val="fr-FR"/>
              </w:rPr>
              <w:t>45 567,46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F76788E" w14:textId="77777777">
            <w:pPr>
              <w:pStyle w:val="Tab3LastColNonGras"/>
              <w:rPr>
                <w:lang w:val="fr-FR"/>
              </w:rPr>
            </w:pPr>
            <w:r>
              <w:rPr>
                <w:lang w:val="fr-FR"/>
              </w:rPr>
              <w:t>0,01</w:t>
            </w:r>
          </w:p>
        </w:tc>
      </w:tr>
      <w:tr w14:paraId="3924D4D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C6F6076" w14:textId="77777777">
            <w:pPr>
              <w:pStyle w:val="Tab3FirstColNonGras"/>
              <w:rPr>
                <w:lang w:val="fr-FR"/>
              </w:rPr>
            </w:pPr>
            <w:r>
              <w:rPr>
                <w:lang w:val="fr-FR"/>
              </w:rPr>
              <w:t>CHECK POINT SOFTWARE TECH</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7D48AF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FE35E52" w14:textId="77777777">
            <w:pPr>
              <w:pStyle w:val="Tab3MiddleColNonGras"/>
              <w:rPr>
                <w:lang w:val="fr-FR"/>
              </w:rPr>
            </w:pPr>
            <w:r>
              <w:rPr>
                <w:lang w:val="fr-FR"/>
              </w:rPr>
              <w:t>407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0A66C05" w14:textId="77777777">
            <w:pPr>
              <w:pStyle w:val="Tab3MiddleColNonGras"/>
              <w:rPr>
                <w:lang w:val="fr-FR"/>
              </w:rPr>
            </w:pPr>
            <w:r>
              <w:rPr>
                <w:lang w:val="fr-FR"/>
              </w:rPr>
              <w:t>90 048,75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B8ADBF4" w14:textId="77777777">
            <w:pPr>
              <w:pStyle w:val="Tab3LastColNonGras"/>
              <w:rPr>
                <w:lang w:val="fr-FR"/>
              </w:rPr>
            </w:pPr>
            <w:r>
              <w:rPr>
                <w:lang w:val="fr-FR"/>
              </w:rPr>
              <w:t>0,03</w:t>
            </w:r>
          </w:p>
        </w:tc>
      </w:tr>
      <w:tr w14:paraId="516D098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5061498" w14:textId="77777777">
            <w:pPr>
              <w:pStyle w:val="Tab3FirstColNonGras"/>
              <w:rPr>
                <w:lang w:val="fr-FR"/>
              </w:rPr>
            </w:pPr>
            <w:r>
              <w:rPr>
                <w:lang w:val="fr-FR"/>
              </w:rPr>
              <w:t>COPART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550F8E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E69FFD9" w14:textId="77777777">
            <w:pPr>
              <w:pStyle w:val="Tab3MiddleColNonGras"/>
              <w:rPr>
                <w:lang w:val="fr-FR"/>
              </w:rPr>
            </w:pPr>
            <w:r>
              <w:rPr>
                <w:lang w:val="fr-FR"/>
              </w:rPr>
              <w:t>3 973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38915AD" w14:textId="77777777">
            <w:pPr>
              <w:pStyle w:val="Tab3MiddleColNonGras"/>
              <w:rPr>
                <w:lang w:val="fr-FR"/>
              </w:rPr>
            </w:pPr>
            <w:r>
              <w:rPr>
                <w:lang w:val="fr-FR"/>
              </w:rPr>
              <w:t>194 955,11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D1172C6" w14:textId="77777777">
            <w:pPr>
              <w:pStyle w:val="Tab3LastColNonGras"/>
              <w:rPr>
                <w:lang w:val="fr-FR"/>
              </w:rPr>
            </w:pPr>
            <w:r>
              <w:rPr>
                <w:lang w:val="fr-FR"/>
              </w:rPr>
              <w:t>0,06</w:t>
            </w:r>
          </w:p>
        </w:tc>
      </w:tr>
      <w:tr w14:paraId="5BE7FA8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F13FDD3" w14:textId="77777777">
            <w:pPr>
              <w:pStyle w:val="Tab3FirstColNonGras"/>
              <w:rPr>
                <w:lang w:val="fr-FR"/>
              </w:rPr>
            </w:pPr>
            <w:r>
              <w:rPr>
                <w:lang w:val="fr-FR"/>
              </w:rPr>
              <w:t>CROWDSTRIKE HOLDINGS INC -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CFD69D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0D10217" w14:textId="77777777">
            <w:pPr>
              <w:pStyle w:val="Tab3MiddleColNonGras"/>
              <w:rPr>
                <w:lang w:val="fr-FR"/>
              </w:rPr>
            </w:pPr>
            <w:r>
              <w:rPr>
                <w:lang w:val="fr-FR"/>
              </w:rPr>
              <w:t>1 298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D4A08AB" w14:textId="77777777">
            <w:pPr>
              <w:pStyle w:val="Tab3MiddleColNonGras"/>
              <w:rPr>
                <w:lang w:val="fr-FR"/>
              </w:rPr>
            </w:pPr>
            <w:r>
              <w:rPr>
                <w:lang w:val="fr-FR"/>
              </w:rPr>
              <w:t>661 084,38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C3B5992" w14:textId="77777777">
            <w:pPr>
              <w:pStyle w:val="Tab3LastColNonGras"/>
              <w:rPr>
                <w:lang w:val="fr-FR"/>
              </w:rPr>
            </w:pPr>
            <w:r>
              <w:rPr>
                <w:lang w:val="fr-FR"/>
              </w:rPr>
              <w:t>0,19</w:t>
            </w:r>
          </w:p>
        </w:tc>
      </w:tr>
      <w:tr w14:paraId="382E793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D82C144" w14:textId="77777777">
            <w:pPr>
              <w:pStyle w:val="Tab3FirstColNonGras"/>
              <w:rPr>
                <w:lang w:val="fr-FR"/>
              </w:rPr>
            </w:pPr>
            <w:r>
              <w:rPr>
                <w:lang w:val="fr-FR"/>
              </w:rPr>
              <w:t>DASSAULT SYSTEMES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C3D3EB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49B0934" w14:textId="77777777">
            <w:pPr>
              <w:pStyle w:val="Tab3MiddleColNonGras"/>
              <w:rPr>
                <w:lang w:val="fr-FR"/>
              </w:rPr>
            </w:pPr>
            <w:r>
              <w:rPr>
                <w:lang w:val="fr-FR"/>
              </w:rPr>
              <w:t>8 115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ABD083A" w14:textId="77777777">
            <w:pPr>
              <w:pStyle w:val="Tab3MiddleColNonGras"/>
              <w:rPr>
                <w:lang w:val="fr-FR"/>
              </w:rPr>
            </w:pPr>
            <w:r>
              <w:rPr>
                <w:lang w:val="fr-FR"/>
              </w:rPr>
              <w:t>292 727,61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0F167F9" w14:textId="77777777">
            <w:pPr>
              <w:pStyle w:val="Tab3LastColNonGras"/>
              <w:rPr>
                <w:lang w:val="fr-FR"/>
              </w:rPr>
            </w:pPr>
            <w:r>
              <w:rPr>
                <w:lang w:val="fr-FR"/>
              </w:rPr>
              <w:t>0,08</w:t>
            </w:r>
          </w:p>
        </w:tc>
      </w:tr>
      <w:tr w14:paraId="56C3E2D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9EC66C7" w14:textId="77777777">
            <w:pPr>
              <w:pStyle w:val="Tab3FirstColNonGras"/>
              <w:rPr>
                <w:lang w:val="fr-FR"/>
              </w:rPr>
            </w:pPr>
            <w:r>
              <w:rPr>
                <w:lang w:val="fr-FR"/>
              </w:rPr>
              <w:t>DESCARTES SYSTEMS GRP/THE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D2FC48C"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C940A0D" w14:textId="77777777">
            <w:pPr>
              <w:pStyle w:val="Tab3MiddleColNonGras"/>
              <w:rPr>
                <w:lang w:val="fr-FR"/>
              </w:rPr>
            </w:pPr>
            <w:r>
              <w:rPr>
                <w:lang w:val="fr-FR"/>
              </w:rPr>
              <w:t>402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6524A5E" w14:textId="77777777">
            <w:pPr>
              <w:pStyle w:val="Tab3MiddleColNonGras"/>
              <w:rPr>
                <w:lang w:val="fr-FR"/>
              </w:rPr>
            </w:pPr>
            <w:r>
              <w:rPr>
                <w:lang w:val="fr-FR"/>
              </w:rPr>
              <w:t>40 753,07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DFBFA73" w14:textId="77777777">
            <w:pPr>
              <w:pStyle w:val="Tab3LastColNonGras"/>
              <w:rPr>
                <w:lang w:val="fr-FR"/>
              </w:rPr>
            </w:pPr>
            <w:r>
              <w:rPr>
                <w:lang w:val="fr-FR"/>
              </w:rPr>
              <w:t>0,01</w:t>
            </w:r>
          </w:p>
        </w:tc>
      </w:tr>
      <w:tr w14:paraId="490AFCC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3E17259" w14:textId="77777777">
            <w:pPr>
              <w:pStyle w:val="Tab3FirstColNonGras"/>
              <w:rPr>
                <w:lang w:val="fr-FR"/>
              </w:rPr>
            </w:pPr>
            <w:r>
              <w:rPr>
                <w:lang w:val="fr-FR"/>
              </w:rPr>
              <w:t>DOCUSIGN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AEC94E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11A24B6" w14:textId="77777777">
            <w:pPr>
              <w:pStyle w:val="Tab3MiddleColNonGras"/>
              <w:rPr>
                <w:lang w:val="fr-FR"/>
              </w:rPr>
            </w:pPr>
            <w:r>
              <w:rPr>
                <w:lang w:val="fr-FR"/>
              </w:rPr>
              <w:t>1 001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2FF2113" w14:textId="77777777">
            <w:pPr>
              <w:pStyle w:val="Tab3MiddleColNonGras"/>
              <w:rPr>
                <w:lang w:val="fr-FR"/>
              </w:rPr>
            </w:pPr>
            <w:r>
              <w:rPr>
                <w:lang w:val="fr-FR"/>
              </w:rPr>
              <w:t>77 967,89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0A4B045" w14:textId="77777777">
            <w:pPr>
              <w:pStyle w:val="Tab3LastColNonGras"/>
              <w:rPr>
                <w:lang w:val="fr-FR"/>
              </w:rPr>
            </w:pPr>
            <w:r>
              <w:rPr>
                <w:lang w:val="fr-FR"/>
              </w:rPr>
              <w:t>0,02</w:t>
            </w:r>
          </w:p>
        </w:tc>
      </w:tr>
      <w:tr w14:paraId="0A3CABF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590B44A" w14:textId="77777777">
            <w:pPr>
              <w:pStyle w:val="Tab3FirstColNonGras"/>
              <w:rPr>
                <w:lang w:val="fr-FR"/>
              </w:rPr>
            </w:pPr>
            <w:r>
              <w:rPr>
                <w:lang w:val="fr-FR"/>
              </w:rPr>
              <w:t>DOLLAR TREE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B61573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05AEA9D" w14:textId="77777777">
            <w:pPr>
              <w:pStyle w:val="Tab3MiddleColNonGras"/>
              <w:rPr>
                <w:lang w:val="fr-FR"/>
              </w:rPr>
            </w:pPr>
            <w:r>
              <w:rPr>
                <w:lang w:val="fr-FR"/>
              </w:rPr>
              <w:t>516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AE74D84" w14:textId="77777777">
            <w:pPr>
              <w:pStyle w:val="Tab3MiddleColNonGras"/>
              <w:rPr>
                <w:lang w:val="fr-FR"/>
              </w:rPr>
            </w:pPr>
            <w:r>
              <w:rPr>
                <w:lang w:val="fr-FR"/>
              </w:rPr>
              <w:t>51 104,64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695C1E8" w14:textId="77777777">
            <w:pPr>
              <w:pStyle w:val="Tab3LastColNonGras"/>
              <w:rPr>
                <w:lang w:val="fr-FR"/>
              </w:rPr>
            </w:pPr>
            <w:r>
              <w:rPr>
                <w:lang w:val="fr-FR"/>
              </w:rPr>
              <w:t>0,01</w:t>
            </w:r>
          </w:p>
        </w:tc>
      </w:tr>
      <w:tr w14:paraId="5085DF1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49EC00E" w14:textId="77777777">
            <w:pPr>
              <w:pStyle w:val="Tab3FirstColNonGras"/>
              <w:rPr>
                <w:lang w:val="fr-FR"/>
              </w:rPr>
            </w:pPr>
            <w:r>
              <w:rPr>
                <w:lang w:val="fr-FR"/>
              </w:rPr>
              <w:t>DYNATRACE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93ACD4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FE2D240" w14:textId="77777777">
            <w:pPr>
              <w:pStyle w:val="Tab3MiddleColNonGras"/>
              <w:rPr>
                <w:lang w:val="fr-FR"/>
              </w:rPr>
            </w:pPr>
            <w:r>
              <w:rPr>
                <w:lang w:val="fr-FR"/>
              </w:rPr>
              <w:t>1 530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BA89B79" w14:textId="77777777">
            <w:pPr>
              <w:pStyle w:val="Tab3MiddleColNonGras"/>
              <w:rPr>
                <w:lang w:val="fr-FR"/>
              </w:rPr>
            </w:pPr>
            <w:r>
              <w:rPr>
                <w:lang w:val="fr-FR"/>
              </w:rPr>
              <w:t>84 471,30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E61299A" w14:textId="77777777">
            <w:pPr>
              <w:pStyle w:val="Tab3LastColNonGras"/>
              <w:rPr>
                <w:lang w:val="fr-FR"/>
              </w:rPr>
            </w:pPr>
            <w:r>
              <w:rPr>
                <w:lang w:val="fr-FR"/>
              </w:rPr>
              <w:t>0,02</w:t>
            </w:r>
          </w:p>
        </w:tc>
      </w:tr>
      <w:tr w14:paraId="4BE0073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ACBA57C" w14:textId="77777777">
            <w:pPr>
              <w:pStyle w:val="Tab3FirstColNonGras"/>
              <w:rPr>
                <w:lang w:val="fr-FR"/>
              </w:rPr>
            </w:pPr>
            <w:r>
              <w:rPr>
                <w:lang w:val="fr-FR"/>
              </w:rPr>
              <w:t>EMCOR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19847C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A05C2C8" w14:textId="77777777">
            <w:pPr>
              <w:pStyle w:val="Tab3MiddleColNonGras"/>
              <w:rPr>
                <w:lang w:val="fr-FR"/>
              </w:rPr>
            </w:pPr>
            <w:r>
              <w:rPr>
                <w:lang w:val="fr-FR"/>
              </w:rPr>
              <w:t>422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A0E3C50" w14:textId="77777777">
            <w:pPr>
              <w:pStyle w:val="Tab3MiddleColNonGras"/>
              <w:rPr>
                <w:lang w:val="fr-FR"/>
              </w:rPr>
            </w:pPr>
            <w:r>
              <w:rPr>
                <w:lang w:val="fr-FR"/>
              </w:rPr>
              <w:t>225 723,58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F2C91BE" w14:textId="77777777">
            <w:pPr>
              <w:pStyle w:val="Tab3LastColNonGras"/>
              <w:rPr>
                <w:lang w:val="fr-FR"/>
              </w:rPr>
            </w:pPr>
            <w:r>
              <w:rPr>
                <w:lang w:val="fr-FR"/>
              </w:rPr>
              <w:t>0,06</w:t>
            </w:r>
          </w:p>
        </w:tc>
      </w:tr>
    </w:tbl>
    <w:p w:rsidR="001F4AEE" w14:paraId="6C814648" w14:textId="77777777">
      <w:pPr>
        <w:sectPr>
          <w:headerReference w:type="default" r:id="rId40"/>
          <w:footerReference w:type="default" r:id="rId41"/>
          <w:pgSz w:w="11900" w:h="16840"/>
          <w:pgMar w:top="2154" w:right="1134" w:bottom="1134" w:left="1134" w:header="400" w:footer="400" w:gutter="0"/>
          <w:cols w:space="720"/>
        </w:sectPr>
      </w:pPr>
    </w:p>
    <w:p w:rsidR="001F4AEE" w14:paraId="367223AE" w14:textId="77777777">
      <w:pPr>
        <w:spacing w:line="30" w:lineRule="exact"/>
        <w:rPr>
          <w:sz w:val="3"/>
        </w:rPr>
      </w:pPr>
    </w:p>
    <w:p w:rsidR="001F4AEE" w14:paraId="53CF96DD" w14:textId="77777777">
      <w:pPr>
        <w:pStyle w:val="TechnicalBookmark"/>
        <w:rPr>
          <w:lang w:val="fr-FR"/>
        </w:rPr>
      </w:pPr>
      <w:r>
        <w:rPr>
          <w:lang w:val="fr-FR"/>
        </w:rPr>
        <w:fldChar w:fldCharType="begin"/>
      </w:r>
      <w:r>
        <w:rPr>
          <w:lang w:val="fr-FR"/>
        </w:rPr>
        <w:instrText xml:space="preserve"> SET 3C211254EF8D32AD88CB473AA42EEB2D "" </w:instrText>
      </w:r>
      <w:r>
        <w:rPr>
          <w:lang w:val="fr-FR"/>
        </w:rPr>
        <w:fldChar w:fldCharType="separate"/>
      </w:r>
      <w:bookmarkStart w:id="96" w:name="3C211254EF8D32AD88CB473AA42EEB2D"/>
      <w:bookmarkEnd w:id="96"/>
      <w:r>
        <w:rPr>
          <w:lang w:val="fr-FR"/>
        </w:rPr>
        <w:fldChar w:fldCharType="end"/>
      </w:r>
    </w:p>
    <w:p w:rsidR="001F4AEE" w14:paraId="5DDB6F28" w14:textId="77777777">
      <w:pPr>
        <w:pStyle w:val="H2"/>
        <w:rPr>
          <w:lang w:val="fr-FR"/>
        </w:rPr>
      </w:pPr>
      <w:r>
        <w:rPr>
          <w:lang w:val="fr-FR"/>
        </w:rPr>
        <w:t xml:space="preserve">Inventaire des éléments de bilan </w:t>
      </w:r>
    </w:p>
    <w:p w:rsidR="001F4AEE" w14:paraId="46442753" w14:textId="77777777">
      <w:pPr>
        <w:pStyle w:val="NoRefToc"/>
        <w:rPr>
          <w:lang w:val="fr-FR"/>
        </w:rPr>
      </w:pPr>
    </w:p>
    <w:p w:rsidR="001F4AEE" w14:paraId="3FA5742B" w14:textId="77777777">
      <w:pPr>
        <w:pStyle w:val="TechnicalBookmark"/>
        <w:rPr>
          <w:lang w:val="fr-FR"/>
        </w:rPr>
      </w:pPr>
      <w:r>
        <w:rPr>
          <w:lang w:val="fr-FR"/>
        </w:rPr>
        <w:fldChar w:fldCharType="begin"/>
      </w:r>
      <w:r>
        <w:rPr>
          <w:lang w:val="fr-FR"/>
        </w:rPr>
        <w:instrText xml:space="preserve"> SET 8B707561A2D11738D8F21D9178EC200D "" </w:instrText>
      </w:r>
      <w:r>
        <w:rPr>
          <w:lang w:val="fr-FR"/>
        </w:rPr>
        <w:fldChar w:fldCharType="separate"/>
      </w:r>
      <w:bookmarkStart w:id="97" w:name="8B707561A2D11738D8F21D9178EC200D"/>
      <w:bookmarkEnd w:id="97"/>
      <w:r>
        <w:rPr>
          <w:lang w:val="fr-FR"/>
        </w:rPr>
        <w:fldChar w:fldCharType="end"/>
      </w:r>
    </w:p>
    <w:p w:rsidR="001F4AEE" w14:paraId="4966675E"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10BDBE61"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78986181"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08E18256"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4E51C315" w14:textId="77777777">
            <w:pPr>
              <w:pStyle w:val="EnteteTabMiddleColBordure"/>
              <w:spacing w:line="184" w:lineRule="exact"/>
              <w:rPr>
                <w:lang w:val="fr-FR"/>
              </w:rPr>
            </w:pPr>
            <w:r>
              <w:rPr>
                <w:lang w:val="fr-FR"/>
              </w:rPr>
              <w:t>Quantité ou</w:t>
            </w:r>
          </w:p>
          <w:p w:rsidR="001F4AEE" w14:paraId="31B5CC0E"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2661FD3E"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183D0A4B" w14:textId="77777777">
            <w:pPr>
              <w:pStyle w:val="EnteteTabLastColBordure"/>
              <w:spacing w:line="184" w:lineRule="exact"/>
              <w:rPr>
                <w:lang w:val="fr-FR"/>
              </w:rPr>
            </w:pPr>
            <w:r>
              <w:rPr>
                <w:lang w:val="fr-FR"/>
              </w:rPr>
              <w:t>% Actif</w:t>
            </w:r>
          </w:p>
          <w:p w:rsidR="001F4AEE" w14:paraId="78C09FC2" w14:textId="77777777">
            <w:pPr>
              <w:pStyle w:val="EnteteTabLastColBordure"/>
              <w:spacing w:line="184" w:lineRule="exact"/>
              <w:rPr>
                <w:lang w:val="fr-FR"/>
              </w:rPr>
            </w:pPr>
            <w:r>
              <w:rPr>
                <w:lang w:val="fr-FR"/>
              </w:rPr>
              <w:t>Net</w:t>
            </w:r>
          </w:p>
        </w:tc>
      </w:tr>
      <w:tr w14:paraId="1F71401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A3D4E1A" w14:textId="77777777">
            <w:pPr>
              <w:pStyle w:val="Tab3FirstColNonGras"/>
              <w:rPr>
                <w:lang w:val="fr-FR"/>
              </w:rPr>
            </w:pPr>
            <w:r>
              <w:rPr>
                <w:lang w:val="fr-FR"/>
              </w:rPr>
              <w:t>ERICSSON LM-B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CEA247E"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D86E8F0" w14:textId="77777777">
            <w:pPr>
              <w:pStyle w:val="Tab3MiddleColNonGras"/>
              <w:rPr>
                <w:lang w:val="fr-FR"/>
              </w:rPr>
            </w:pPr>
            <w:r>
              <w:rPr>
                <w:lang w:val="fr-FR"/>
              </w:rPr>
              <w:t>6 473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BA32011" w14:textId="77777777">
            <w:pPr>
              <w:pStyle w:val="Tab3MiddleColNonGras"/>
              <w:rPr>
                <w:lang w:val="fr-FR"/>
              </w:rPr>
            </w:pPr>
            <w:r>
              <w:rPr>
                <w:lang w:val="fr-FR"/>
              </w:rPr>
              <w:t>54 974,09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C12270F" w14:textId="77777777">
            <w:pPr>
              <w:pStyle w:val="Tab3LastColNonGras"/>
              <w:rPr>
                <w:lang w:val="fr-FR"/>
              </w:rPr>
            </w:pPr>
            <w:r>
              <w:rPr>
                <w:lang w:val="fr-FR"/>
              </w:rPr>
              <w:t>0,02</w:t>
            </w:r>
          </w:p>
        </w:tc>
      </w:tr>
      <w:tr w14:paraId="4B49AAB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6B4A3CC" w14:textId="77777777">
            <w:pPr>
              <w:pStyle w:val="Tab3FirstColNonGras"/>
              <w:rPr>
                <w:lang w:val="fr-FR"/>
              </w:rPr>
            </w:pPr>
            <w:r>
              <w:rPr>
                <w:lang w:val="fr-FR"/>
              </w:rPr>
              <w:t>EVOLUTION AB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AFCA319"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909D5B0" w14:textId="77777777">
            <w:pPr>
              <w:pStyle w:val="Tab3MiddleColNonGras"/>
              <w:rPr>
                <w:lang w:val="fr-FR"/>
              </w:rPr>
            </w:pPr>
            <w:r>
              <w:rPr>
                <w:lang w:val="fr-FR"/>
              </w:rPr>
              <w:t>745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957B874" w14:textId="77777777">
            <w:pPr>
              <w:pStyle w:val="Tab3MiddleColNonGras"/>
              <w:rPr>
                <w:lang w:val="fr-FR"/>
              </w:rPr>
            </w:pPr>
            <w:r>
              <w:rPr>
                <w:lang w:val="fr-FR"/>
              </w:rPr>
              <w:t>58 753,31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54BE2D5" w14:textId="77777777">
            <w:pPr>
              <w:pStyle w:val="Tab3LastColNonGras"/>
              <w:rPr>
                <w:lang w:val="fr-FR"/>
              </w:rPr>
            </w:pPr>
            <w:r>
              <w:rPr>
                <w:lang w:val="fr-FR"/>
              </w:rPr>
              <w:t>0,02</w:t>
            </w:r>
          </w:p>
        </w:tc>
      </w:tr>
      <w:tr w14:paraId="1BAD288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42633AC" w14:textId="77777777">
            <w:pPr>
              <w:pStyle w:val="Tab3FirstColNonGras"/>
              <w:rPr>
                <w:lang w:val="fr-FR"/>
              </w:rPr>
            </w:pPr>
            <w:r>
              <w:rPr>
                <w:lang w:val="fr-FR"/>
              </w:rPr>
              <w:t>FACTSET RESEARCH SYSTEMS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899327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832B98F" w14:textId="77777777">
            <w:pPr>
              <w:pStyle w:val="Tab3MiddleColNonGras"/>
              <w:rPr>
                <w:lang w:val="fr-FR"/>
              </w:rPr>
            </w:pPr>
            <w:r>
              <w:rPr>
                <w:lang w:val="fr-FR"/>
              </w:rPr>
              <w:t>148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D0555C0" w14:textId="77777777">
            <w:pPr>
              <w:pStyle w:val="Tab3MiddleColNonGras"/>
              <w:rPr>
                <w:lang w:val="fr-FR"/>
              </w:rPr>
            </w:pPr>
            <w:r>
              <w:rPr>
                <w:lang w:val="fr-FR"/>
              </w:rPr>
              <w:t>66 197,44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0B78670" w14:textId="77777777">
            <w:pPr>
              <w:pStyle w:val="Tab3LastColNonGras"/>
              <w:rPr>
                <w:lang w:val="fr-FR"/>
              </w:rPr>
            </w:pPr>
            <w:r>
              <w:rPr>
                <w:lang w:val="fr-FR"/>
              </w:rPr>
              <w:t>0,02</w:t>
            </w:r>
          </w:p>
        </w:tc>
      </w:tr>
      <w:tr w14:paraId="191F0E3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CF821C6" w14:textId="77777777">
            <w:pPr>
              <w:pStyle w:val="Tab3FirstColNonGras"/>
              <w:rPr>
                <w:lang w:val="fr-FR"/>
              </w:rPr>
            </w:pPr>
            <w:r>
              <w:rPr>
                <w:lang w:val="fr-FR"/>
              </w:rPr>
              <w:t>FAIR ISAAC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6349BC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B483626" w14:textId="77777777">
            <w:pPr>
              <w:pStyle w:val="Tab3MiddleColNonGras"/>
              <w:rPr>
                <w:lang w:val="fr-FR"/>
              </w:rPr>
            </w:pPr>
            <w:r>
              <w:rPr>
                <w:lang w:val="fr-FR"/>
              </w:rPr>
              <w:t>123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C520D06" w14:textId="77777777">
            <w:pPr>
              <w:pStyle w:val="Tab3MiddleColNonGras"/>
              <w:rPr>
                <w:lang w:val="fr-FR"/>
              </w:rPr>
            </w:pPr>
            <w:r>
              <w:rPr>
                <w:lang w:val="fr-FR"/>
              </w:rPr>
              <w:t>224 839,08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2CA6204" w14:textId="77777777">
            <w:pPr>
              <w:pStyle w:val="Tab3LastColNonGras"/>
              <w:rPr>
                <w:lang w:val="fr-FR"/>
              </w:rPr>
            </w:pPr>
            <w:r>
              <w:rPr>
                <w:lang w:val="fr-FR"/>
              </w:rPr>
              <w:t>0,06</w:t>
            </w:r>
          </w:p>
        </w:tc>
      </w:tr>
      <w:tr w14:paraId="4B98466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770465D" w14:textId="77777777">
            <w:pPr>
              <w:pStyle w:val="Tab3FirstColNonGras"/>
              <w:rPr>
                <w:lang w:val="fr-FR"/>
              </w:rPr>
            </w:pPr>
            <w:r>
              <w:rPr>
                <w:lang w:val="fr-FR"/>
              </w:rPr>
              <w:t>FORTINET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948527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68FD880" w14:textId="77777777">
            <w:pPr>
              <w:pStyle w:val="Tab3MiddleColNonGras"/>
              <w:rPr>
                <w:lang w:val="fr-FR"/>
              </w:rPr>
            </w:pPr>
            <w:r>
              <w:rPr>
                <w:lang w:val="fr-FR"/>
              </w:rPr>
              <w:t>3 161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7716E5B" w14:textId="77777777">
            <w:pPr>
              <w:pStyle w:val="Tab3MiddleColNonGras"/>
              <w:rPr>
                <w:lang w:val="fr-FR"/>
              </w:rPr>
            </w:pPr>
            <w:r>
              <w:rPr>
                <w:lang w:val="fr-FR"/>
              </w:rPr>
              <w:t>334 180,92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5A37A50" w14:textId="77777777">
            <w:pPr>
              <w:pStyle w:val="Tab3LastColNonGras"/>
              <w:rPr>
                <w:lang w:val="fr-FR"/>
              </w:rPr>
            </w:pPr>
            <w:r>
              <w:rPr>
                <w:lang w:val="fr-FR"/>
              </w:rPr>
              <w:t>0,10</w:t>
            </w:r>
          </w:p>
        </w:tc>
      </w:tr>
      <w:tr w14:paraId="70DD73A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BD284A3" w14:textId="77777777">
            <w:pPr>
              <w:pStyle w:val="Tab3FirstColNonGras"/>
              <w:rPr>
                <w:lang w:val="fr-FR"/>
              </w:rPr>
            </w:pPr>
            <w:r>
              <w:rPr>
                <w:lang w:val="fr-FR"/>
              </w:rPr>
              <w:t>GEN DIGITAL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6372E2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DF2F000" w14:textId="77777777">
            <w:pPr>
              <w:pStyle w:val="Tab3MiddleColNonGras"/>
              <w:rPr>
                <w:lang w:val="fr-FR"/>
              </w:rPr>
            </w:pPr>
            <w:r>
              <w:rPr>
                <w:lang w:val="fr-FR"/>
              </w:rPr>
              <w:t>2 041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BEE1BAB" w14:textId="77777777">
            <w:pPr>
              <w:pStyle w:val="Tab3MiddleColNonGras"/>
              <w:rPr>
                <w:lang w:val="fr-FR"/>
              </w:rPr>
            </w:pPr>
            <w:r>
              <w:rPr>
                <w:lang w:val="fr-FR"/>
              </w:rPr>
              <w:t>60 005,40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8A86FFF" w14:textId="77777777">
            <w:pPr>
              <w:pStyle w:val="Tab3LastColNonGras"/>
              <w:rPr>
                <w:lang w:val="fr-FR"/>
              </w:rPr>
            </w:pPr>
            <w:r>
              <w:rPr>
                <w:lang w:val="fr-FR"/>
              </w:rPr>
              <w:t>0,02</w:t>
            </w:r>
          </w:p>
        </w:tc>
      </w:tr>
      <w:tr w14:paraId="24822AD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AAAF521" w14:textId="77777777">
            <w:pPr>
              <w:pStyle w:val="Tab3FirstColNonGras"/>
              <w:rPr>
                <w:lang w:val="fr-FR"/>
              </w:rPr>
            </w:pPr>
            <w:r>
              <w:rPr>
                <w:lang w:val="fr-FR"/>
              </w:rPr>
              <w:t>GETLINK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B8AF1F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C72729D" w14:textId="77777777">
            <w:pPr>
              <w:pStyle w:val="Tab3MiddleColNonGras"/>
              <w:rPr>
                <w:lang w:val="fr-FR"/>
              </w:rPr>
            </w:pPr>
            <w:r>
              <w:rPr>
                <w:lang w:val="fr-FR"/>
              </w:rPr>
              <w:t>2 272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DA3ECF7" w14:textId="77777777">
            <w:pPr>
              <w:pStyle w:val="Tab3MiddleColNonGras"/>
              <w:rPr>
                <w:lang w:val="fr-FR"/>
              </w:rPr>
            </w:pPr>
            <w:r>
              <w:rPr>
                <w:lang w:val="fr-FR"/>
              </w:rPr>
              <w:t>43 711,92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4C6AA5B" w14:textId="77777777">
            <w:pPr>
              <w:pStyle w:val="Tab3LastColNonGras"/>
              <w:rPr>
                <w:lang w:val="fr-FR"/>
              </w:rPr>
            </w:pPr>
            <w:r>
              <w:rPr>
                <w:lang w:val="fr-FR"/>
              </w:rPr>
              <w:t>0,01</w:t>
            </w:r>
          </w:p>
        </w:tc>
      </w:tr>
      <w:tr w14:paraId="2B6DC32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0B171E3" w14:textId="77777777">
            <w:pPr>
              <w:pStyle w:val="Tab3FirstColNonGras"/>
              <w:rPr>
                <w:lang w:val="fr-FR"/>
              </w:rPr>
            </w:pPr>
            <w:r>
              <w:rPr>
                <w:lang w:val="fr-FR"/>
              </w:rPr>
              <w:t>INTUIT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26AE2C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98A2FBF" w14:textId="77777777">
            <w:pPr>
              <w:pStyle w:val="Tab3MiddleColNonGras"/>
              <w:rPr>
                <w:lang w:val="fr-FR"/>
              </w:rPr>
            </w:pPr>
            <w:r>
              <w:rPr>
                <w:lang w:val="fr-FR"/>
              </w:rPr>
              <w:t>1 438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556BB95" w14:textId="77777777">
            <w:pPr>
              <w:pStyle w:val="Tab3MiddleColNonGras"/>
              <w:rPr>
                <w:lang w:val="fr-FR"/>
              </w:rPr>
            </w:pPr>
            <w:r>
              <w:rPr>
                <w:lang w:val="fr-FR"/>
              </w:rPr>
              <w:t>1 132 611,94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B670D16" w14:textId="77777777">
            <w:pPr>
              <w:pStyle w:val="Tab3LastColNonGras"/>
              <w:rPr>
                <w:lang w:val="fr-FR"/>
              </w:rPr>
            </w:pPr>
            <w:r>
              <w:rPr>
                <w:lang w:val="fr-FR"/>
              </w:rPr>
              <w:t>0,33</w:t>
            </w:r>
          </w:p>
        </w:tc>
      </w:tr>
      <w:tr w14:paraId="49CD5A5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CE5B2C6" w14:textId="77777777">
            <w:pPr>
              <w:pStyle w:val="Tab3FirstColNonGras"/>
              <w:rPr>
                <w:lang w:val="fr-FR"/>
              </w:rPr>
            </w:pPr>
            <w:r>
              <w:rPr>
                <w:lang w:val="fr-FR"/>
              </w:rPr>
              <w:t>MICROSOFT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308217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9F862F0" w14:textId="77777777">
            <w:pPr>
              <w:pStyle w:val="Tab3MiddleColNonGras"/>
              <w:rPr>
                <w:lang w:val="fr-FR"/>
              </w:rPr>
            </w:pPr>
            <w:r>
              <w:rPr>
                <w:lang w:val="fr-FR"/>
              </w:rPr>
              <w:t>28 988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8F87E6F" w14:textId="77777777">
            <w:pPr>
              <w:pStyle w:val="Tab3MiddleColNonGras"/>
              <w:rPr>
                <w:lang w:val="fr-FR"/>
              </w:rPr>
            </w:pPr>
            <w:r>
              <w:rPr>
                <w:lang w:val="fr-FR"/>
              </w:rPr>
              <w:t>14 418 921,08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01752B8" w14:textId="77777777">
            <w:pPr>
              <w:pStyle w:val="Tab3LastColNonGras"/>
              <w:rPr>
                <w:lang w:val="fr-FR"/>
              </w:rPr>
            </w:pPr>
            <w:r>
              <w:rPr>
                <w:lang w:val="fr-FR"/>
              </w:rPr>
              <w:t>4,14</w:t>
            </w:r>
          </w:p>
        </w:tc>
      </w:tr>
      <w:tr w14:paraId="1D321BC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60FEBC3" w14:textId="77777777">
            <w:pPr>
              <w:pStyle w:val="Tab3FirstColNonGras"/>
              <w:rPr>
                <w:lang w:val="fr-FR"/>
              </w:rPr>
            </w:pPr>
            <w:r>
              <w:rPr>
                <w:lang w:val="fr-FR"/>
              </w:rPr>
              <w:t>MICROSTRATEGY INC-CL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BD4731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0508F6C" w14:textId="77777777">
            <w:pPr>
              <w:pStyle w:val="Tab3MiddleColNonGras"/>
              <w:rPr>
                <w:lang w:val="fr-FR"/>
              </w:rPr>
            </w:pPr>
            <w:r>
              <w:rPr>
                <w:lang w:val="fr-FR"/>
              </w:rPr>
              <w:t>1 215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D9B206A" w14:textId="77777777">
            <w:pPr>
              <w:pStyle w:val="Tab3MiddleColNonGras"/>
              <w:rPr>
                <w:lang w:val="fr-FR"/>
              </w:rPr>
            </w:pPr>
            <w:r>
              <w:rPr>
                <w:lang w:val="fr-FR"/>
              </w:rPr>
              <w:t>491 139,45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33757DA" w14:textId="77777777">
            <w:pPr>
              <w:pStyle w:val="Tab3LastColNonGras"/>
              <w:rPr>
                <w:lang w:val="fr-FR"/>
              </w:rPr>
            </w:pPr>
            <w:r>
              <w:rPr>
                <w:lang w:val="fr-FR"/>
              </w:rPr>
              <w:t>0,14</w:t>
            </w:r>
          </w:p>
        </w:tc>
      </w:tr>
      <w:tr w14:paraId="28CDB05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65FF251" w14:textId="77777777">
            <w:pPr>
              <w:pStyle w:val="Tab3FirstColNonGras"/>
              <w:rPr>
                <w:lang w:val="fr-FR"/>
              </w:rPr>
            </w:pPr>
            <w:r>
              <w:rPr>
                <w:lang w:val="fr-FR"/>
              </w:rPr>
              <w:t>MONDAY.COM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9DFC52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89C0838" w14:textId="77777777">
            <w:pPr>
              <w:pStyle w:val="Tab3MiddleColNonGras"/>
              <w:rPr>
                <w:lang w:val="fr-FR"/>
              </w:rPr>
            </w:pPr>
            <w:r>
              <w:rPr>
                <w:lang w:val="fr-FR"/>
              </w:rPr>
              <w:t>194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4F42104" w14:textId="77777777">
            <w:pPr>
              <w:pStyle w:val="Tab3MiddleColNonGras"/>
              <w:rPr>
                <w:lang w:val="fr-FR"/>
              </w:rPr>
            </w:pPr>
            <w:r>
              <w:rPr>
                <w:lang w:val="fr-FR"/>
              </w:rPr>
              <w:t>61 009,12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4A353AC" w14:textId="77777777">
            <w:pPr>
              <w:pStyle w:val="Tab3LastColNonGras"/>
              <w:rPr>
                <w:lang w:val="fr-FR"/>
              </w:rPr>
            </w:pPr>
            <w:r>
              <w:rPr>
                <w:lang w:val="fr-FR"/>
              </w:rPr>
              <w:t>0,02</w:t>
            </w:r>
          </w:p>
        </w:tc>
      </w:tr>
      <w:tr w14:paraId="78B4205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5F21486" w14:textId="77777777">
            <w:pPr>
              <w:pStyle w:val="Tab3FirstColNonGras"/>
              <w:rPr>
                <w:lang w:val="fr-FR"/>
              </w:rPr>
            </w:pPr>
            <w:r>
              <w:rPr>
                <w:lang w:val="fr-FR"/>
              </w:rPr>
              <w:t>NEMETSCHEK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30A579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ECFCA20" w14:textId="77777777">
            <w:pPr>
              <w:pStyle w:val="Tab3MiddleColNonGras"/>
              <w:rPr>
                <w:lang w:val="fr-FR"/>
              </w:rPr>
            </w:pPr>
            <w:r>
              <w:rPr>
                <w:lang w:val="fr-FR"/>
              </w:rPr>
              <w:t>285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489E7EC" w14:textId="77777777">
            <w:pPr>
              <w:pStyle w:val="Tab3MiddleColNonGras"/>
              <w:rPr>
                <w:lang w:val="fr-FR"/>
              </w:rPr>
            </w:pPr>
            <w:r>
              <w:rPr>
                <w:lang w:val="fr-FR"/>
              </w:rPr>
              <w:t>41 149,31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9930859" w14:textId="77777777">
            <w:pPr>
              <w:pStyle w:val="Tab3LastColNonGras"/>
              <w:rPr>
                <w:lang w:val="fr-FR"/>
              </w:rPr>
            </w:pPr>
            <w:r>
              <w:rPr>
                <w:lang w:val="fr-FR"/>
              </w:rPr>
              <w:t>0,01</w:t>
            </w:r>
          </w:p>
        </w:tc>
      </w:tr>
      <w:tr w14:paraId="565FCCB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1497390" w14:textId="77777777">
            <w:pPr>
              <w:pStyle w:val="Tab3FirstColNonGras"/>
              <w:rPr>
                <w:lang w:val="fr-FR"/>
              </w:rPr>
            </w:pPr>
            <w:r>
              <w:rPr>
                <w:lang w:val="fr-FR"/>
              </w:rPr>
              <w:t>NEWS CORP - 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9E3199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8591A6E" w14:textId="77777777">
            <w:pPr>
              <w:pStyle w:val="Tab3MiddleColNonGras"/>
              <w:rPr>
                <w:lang w:val="fr-FR"/>
              </w:rPr>
            </w:pPr>
            <w:r>
              <w:rPr>
                <w:lang w:val="fr-FR"/>
              </w:rPr>
              <w:t>2 130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D57DBBC" w14:textId="77777777">
            <w:pPr>
              <w:pStyle w:val="Tab3MiddleColNonGras"/>
              <w:rPr>
                <w:lang w:val="fr-FR"/>
              </w:rPr>
            </w:pPr>
            <w:r>
              <w:rPr>
                <w:lang w:val="fr-FR"/>
              </w:rPr>
              <w:t>63 303,60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E9572BE" w14:textId="77777777">
            <w:pPr>
              <w:pStyle w:val="Tab3LastColNonGras"/>
              <w:rPr>
                <w:lang w:val="fr-FR"/>
              </w:rPr>
            </w:pPr>
            <w:r>
              <w:rPr>
                <w:lang w:val="fr-FR"/>
              </w:rPr>
              <w:t>0,02</w:t>
            </w:r>
          </w:p>
        </w:tc>
      </w:tr>
      <w:tr w14:paraId="0CA02A9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43EA08A" w14:textId="77777777">
            <w:pPr>
              <w:pStyle w:val="Tab3FirstColNonGras"/>
              <w:rPr>
                <w:lang w:val="fr-FR"/>
              </w:rPr>
            </w:pPr>
            <w:r>
              <w:rPr>
                <w:lang w:val="fr-FR"/>
              </w:rPr>
              <w:t>NICE SYSTEMS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1A1B036" w14:textId="77777777">
            <w:pPr>
              <w:pStyle w:val="Tab1MiddleColNonGrasCentre"/>
              <w:rPr>
                <w:lang w:val="fr-FR"/>
              </w:rPr>
            </w:pPr>
            <w:r>
              <w:rPr>
                <w:lang w:val="fr-FR"/>
              </w:rPr>
              <w:t>ILS</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2F1FEE8" w14:textId="77777777">
            <w:pPr>
              <w:pStyle w:val="Tab3MiddleColNonGras"/>
              <w:rPr>
                <w:lang w:val="fr-FR"/>
              </w:rPr>
            </w:pPr>
            <w:r>
              <w:rPr>
                <w:lang w:val="fr-FR"/>
              </w:rPr>
              <w:t>815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8CCC459" w14:textId="77777777">
            <w:pPr>
              <w:pStyle w:val="Tab3MiddleColNonGras"/>
              <w:rPr>
                <w:lang w:val="fr-FR"/>
              </w:rPr>
            </w:pPr>
            <w:r>
              <w:rPr>
                <w:lang w:val="fr-FR"/>
              </w:rPr>
              <w:t>138 315,43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29581C5" w14:textId="77777777">
            <w:pPr>
              <w:pStyle w:val="Tab3LastColNonGras"/>
              <w:rPr>
                <w:lang w:val="fr-FR"/>
              </w:rPr>
            </w:pPr>
            <w:r>
              <w:rPr>
                <w:lang w:val="fr-FR"/>
              </w:rPr>
              <w:t>0,04</w:t>
            </w:r>
          </w:p>
        </w:tc>
      </w:tr>
      <w:tr w14:paraId="709719D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78E123B" w14:textId="77777777">
            <w:pPr>
              <w:pStyle w:val="Tab3FirstColNonGras"/>
              <w:rPr>
                <w:lang w:val="fr-FR"/>
              </w:rPr>
            </w:pPr>
            <w:r>
              <w:rPr>
                <w:lang w:val="fr-FR"/>
              </w:rPr>
              <w:t>NUTANIX INC -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05E508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D451972" w14:textId="77777777">
            <w:pPr>
              <w:pStyle w:val="Tab3MiddleColNonGras"/>
              <w:rPr>
                <w:lang w:val="fr-FR"/>
              </w:rPr>
            </w:pPr>
            <w:r>
              <w:rPr>
                <w:lang w:val="fr-FR"/>
              </w:rPr>
              <w:t>1 426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EEE1DA7" w14:textId="77777777">
            <w:pPr>
              <w:pStyle w:val="Tab3MiddleColNonGras"/>
              <w:rPr>
                <w:lang w:val="fr-FR"/>
              </w:rPr>
            </w:pPr>
            <w:r>
              <w:rPr>
                <w:lang w:val="fr-FR"/>
              </w:rPr>
              <w:t>109 003,44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FF47771" w14:textId="77777777">
            <w:pPr>
              <w:pStyle w:val="Tab3LastColNonGras"/>
              <w:rPr>
                <w:lang w:val="fr-FR"/>
              </w:rPr>
            </w:pPr>
            <w:r>
              <w:rPr>
                <w:lang w:val="fr-FR"/>
              </w:rPr>
              <w:t>0,03</w:t>
            </w:r>
          </w:p>
        </w:tc>
      </w:tr>
      <w:tr w14:paraId="7BDCBE5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FC74D9B" w14:textId="77777777">
            <w:pPr>
              <w:pStyle w:val="Tab3FirstColNonGras"/>
              <w:rPr>
                <w:lang w:val="fr-FR"/>
              </w:rPr>
            </w:pPr>
            <w:r>
              <w:rPr>
                <w:lang w:val="fr-FR"/>
              </w:rPr>
              <w:t>OLD DOMINION FREIGHT LINE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BF920E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F711A69" w14:textId="77777777">
            <w:pPr>
              <w:pStyle w:val="Tab3MiddleColNonGras"/>
              <w:rPr>
                <w:lang w:val="fr-FR"/>
              </w:rPr>
            </w:pPr>
            <w:r>
              <w:rPr>
                <w:lang w:val="fr-FR"/>
              </w:rPr>
              <w:t>2 048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10F00B8" w14:textId="77777777">
            <w:pPr>
              <w:pStyle w:val="Tab3MiddleColNonGras"/>
              <w:rPr>
                <w:lang w:val="fr-FR"/>
              </w:rPr>
            </w:pPr>
            <w:r>
              <w:rPr>
                <w:lang w:val="fr-FR"/>
              </w:rPr>
              <w:t>332 390,40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79B4CC3" w14:textId="77777777">
            <w:pPr>
              <w:pStyle w:val="Tab3LastColNonGras"/>
              <w:rPr>
                <w:lang w:val="fr-FR"/>
              </w:rPr>
            </w:pPr>
            <w:r>
              <w:rPr>
                <w:lang w:val="fr-FR"/>
              </w:rPr>
              <w:t>0,10</w:t>
            </w:r>
          </w:p>
        </w:tc>
      </w:tr>
      <w:tr w14:paraId="7D480EC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E7EDFDA" w14:textId="77777777">
            <w:pPr>
              <w:pStyle w:val="Tab3FirstColNonGras"/>
              <w:rPr>
                <w:lang w:val="fr-FR"/>
              </w:rPr>
            </w:pPr>
            <w:r>
              <w:rPr>
                <w:lang w:val="fr-FR"/>
              </w:rPr>
              <w:t>OPEN TEXT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45E9CB7"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CAEEF3E" w14:textId="77777777">
            <w:pPr>
              <w:pStyle w:val="Tab3MiddleColNonGras"/>
              <w:rPr>
                <w:lang w:val="fr-FR"/>
              </w:rPr>
            </w:pPr>
            <w:r>
              <w:rPr>
                <w:lang w:val="fr-FR"/>
              </w:rPr>
              <w:t>1 638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E1D2AC3" w14:textId="77777777">
            <w:pPr>
              <w:pStyle w:val="Tab3MiddleColNonGras"/>
              <w:rPr>
                <w:lang w:val="fr-FR"/>
              </w:rPr>
            </w:pPr>
            <w:r>
              <w:rPr>
                <w:lang w:val="fr-FR"/>
              </w:rPr>
              <w:t>47 764,55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FFE63D1" w14:textId="77777777">
            <w:pPr>
              <w:pStyle w:val="Tab3LastColNonGras"/>
              <w:rPr>
                <w:lang w:val="fr-FR"/>
              </w:rPr>
            </w:pPr>
            <w:r>
              <w:rPr>
                <w:lang w:val="fr-FR"/>
              </w:rPr>
              <w:t>0,01</w:t>
            </w:r>
          </w:p>
        </w:tc>
      </w:tr>
      <w:tr w14:paraId="6BEE1B8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06B0D68" w14:textId="77777777">
            <w:pPr>
              <w:pStyle w:val="Tab3FirstColNonGras"/>
              <w:rPr>
                <w:lang w:val="fr-FR"/>
              </w:rPr>
            </w:pPr>
            <w:r>
              <w:rPr>
                <w:lang w:val="fr-FR"/>
              </w:rPr>
              <w:t>ORACLE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5EE1C0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AB6432A" w14:textId="77777777">
            <w:pPr>
              <w:pStyle w:val="Tab3MiddleColNonGras"/>
              <w:rPr>
                <w:lang w:val="fr-FR"/>
              </w:rPr>
            </w:pPr>
            <w:r>
              <w:rPr>
                <w:lang w:val="fr-FR"/>
              </w:rPr>
              <w:t>19 901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D3B5716" w14:textId="77777777">
            <w:pPr>
              <w:pStyle w:val="Tab3MiddleColNonGras"/>
              <w:rPr>
                <w:lang w:val="fr-FR"/>
              </w:rPr>
            </w:pPr>
            <w:r>
              <w:rPr>
                <w:lang w:val="fr-FR"/>
              </w:rPr>
              <w:t>4 350 955,63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8889CA4" w14:textId="77777777">
            <w:pPr>
              <w:pStyle w:val="Tab3LastColNonGras"/>
              <w:rPr>
                <w:lang w:val="fr-FR"/>
              </w:rPr>
            </w:pPr>
            <w:r>
              <w:rPr>
                <w:lang w:val="fr-FR"/>
              </w:rPr>
              <w:t>1,25</w:t>
            </w:r>
          </w:p>
        </w:tc>
      </w:tr>
      <w:tr w14:paraId="0364FA8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8A26BEC" w14:textId="77777777">
            <w:pPr>
              <w:pStyle w:val="Tab3FirstColNonGras"/>
              <w:rPr>
                <w:lang w:val="fr-FR"/>
              </w:rPr>
            </w:pPr>
            <w:r>
              <w:rPr>
                <w:lang w:val="fr-FR"/>
              </w:rPr>
              <w:t>ORACLE CORP JAPAN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A1315F9"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93ED81C" w14:textId="77777777">
            <w:pPr>
              <w:pStyle w:val="Tab3MiddleColNonGras"/>
              <w:rPr>
                <w:lang w:val="fr-FR"/>
              </w:rPr>
            </w:pPr>
            <w:r>
              <w:rPr>
                <w:lang w:val="fr-FR"/>
              </w:rPr>
              <w:t>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AF57E52" w14:textId="77777777">
            <w:pPr>
              <w:pStyle w:val="Tab3MiddleColNonGras"/>
              <w:rPr>
                <w:lang w:val="fr-FR"/>
              </w:rPr>
            </w:pPr>
            <w:r>
              <w:rPr>
                <w:lang w:val="fr-FR"/>
              </w:rPr>
              <w:t>71 383,58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6FBC298" w14:textId="77777777">
            <w:pPr>
              <w:pStyle w:val="Tab3LastColNonGras"/>
              <w:rPr>
                <w:lang w:val="fr-FR"/>
              </w:rPr>
            </w:pPr>
            <w:r>
              <w:rPr>
                <w:lang w:val="fr-FR"/>
              </w:rPr>
              <w:t>0,02</w:t>
            </w:r>
          </w:p>
        </w:tc>
      </w:tr>
      <w:tr w14:paraId="004C19A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3EC583F" w14:textId="77777777">
            <w:pPr>
              <w:pStyle w:val="Tab3FirstColNonGras"/>
              <w:rPr>
                <w:lang w:val="fr-FR"/>
              </w:rPr>
            </w:pPr>
            <w:r>
              <w:rPr>
                <w:lang w:val="fr-FR"/>
              </w:rPr>
              <w:t>PALO ALTO NETWORKS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D025A1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E4782E4" w14:textId="77777777">
            <w:pPr>
              <w:pStyle w:val="Tab3MiddleColNonGras"/>
              <w:rPr>
                <w:lang w:val="fr-FR"/>
              </w:rPr>
            </w:pPr>
            <w:r>
              <w:rPr>
                <w:lang w:val="fr-FR"/>
              </w:rPr>
              <w:t>3 461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87550CD" w14:textId="77777777">
            <w:pPr>
              <w:pStyle w:val="Tab3MiddleColNonGras"/>
              <w:rPr>
                <w:lang w:val="fr-FR"/>
              </w:rPr>
            </w:pPr>
            <w:r>
              <w:rPr>
                <w:lang w:val="fr-FR"/>
              </w:rPr>
              <w:t>708 259,04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7A9987F" w14:textId="77777777">
            <w:pPr>
              <w:pStyle w:val="Tab3LastColNonGras"/>
              <w:rPr>
                <w:lang w:val="fr-FR"/>
              </w:rPr>
            </w:pPr>
            <w:r>
              <w:rPr>
                <w:lang w:val="fr-FR"/>
              </w:rPr>
              <w:t>0,20</w:t>
            </w:r>
          </w:p>
        </w:tc>
      </w:tr>
      <w:tr w14:paraId="13F2E9C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281DE03" w14:textId="77777777">
            <w:pPr>
              <w:pStyle w:val="Tab3FirstColNonGras"/>
              <w:rPr>
                <w:lang w:val="fr-FR"/>
              </w:rPr>
            </w:pPr>
            <w:r>
              <w:rPr>
                <w:lang w:val="fr-FR"/>
              </w:rPr>
              <w:t>PANDORA A/S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B2EDC9A" w14:textId="77777777">
            <w:pPr>
              <w:pStyle w:val="Tab1MiddleColNonGrasCentre"/>
              <w:rPr>
                <w:lang w:val="fr-FR"/>
              </w:rPr>
            </w:pPr>
            <w:r>
              <w:rPr>
                <w:lang w:val="fr-FR"/>
              </w:rPr>
              <w:t>DKK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FD1DB0B" w14:textId="77777777">
            <w:pPr>
              <w:pStyle w:val="Tab3MiddleColNonGras"/>
              <w:rPr>
                <w:lang w:val="fr-FR"/>
              </w:rPr>
            </w:pPr>
            <w:r>
              <w:rPr>
                <w:lang w:val="fr-FR"/>
              </w:rPr>
              <w:t>752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0CD307B" w14:textId="77777777">
            <w:pPr>
              <w:pStyle w:val="Tab3MiddleColNonGras"/>
              <w:rPr>
                <w:lang w:val="fr-FR"/>
              </w:rPr>
            </w:pPr>
            <w:r>
              <w:rPr>
                <w:lang w:val="fr-FR"/>
              </w:rPr>
              <w:t>131 567,87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AC99F59" w14:textId="77777777">
            <w:pPr>
              <w:pStyle w:val="Tab3LastColNonGras"/>
              <w:rPr>
                <w:lang w:val="fr-FR"/>
              </w:rPr>
            </w:pPr>
            <w:r>
              <w:rPr>
                <w:lang w:val="fr-FR"/>
              </w:rPr>
              <w:t>0,04</w:t>
            </w:r>
          </w:p>
        </w:tc>
      </w:tr>
      <w:tr w14:paraId="50DAB43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90060D2" w14:textId="77777777">
            <w:pPr>
              <w:pStyle w:val="Tab3FirstColNonGras"/>
              <w:rPr>
                <w:lang w:val="fr-FR"/>
              </w:rPr>
            </w:pPr>
            <w:r>
              <w:rPr>
                <w:lang w:val="fr-FR"/>
              </w:rPr>
              <w:t>PINTEREST INC- 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E8F421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8E7321D" w14:textId="77777777">
            <w:pPr>
              <w:pStyle w:val="Tab3MiddleColNonGras"/>
              <w:rPr>
                <w:lang w:val="fr-FR"/>
              </w:rPr>
            </w:pPr>
            <w:r>
              <w:rPr>
                <w:lang w:val="fr-FR"/>
              </w:rPr>
              <w:t>2 957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87A6080" w14:textId="77777777">
            <w:pPr>
              <w:pStyle w:val="Tab3MiddleColNonGras"/>
              <w:rPr>
                <w:lang w:val="fr-FR"/>
              </w:rPr>
            </w:pPr>
            <w:r>
              <w:rPr>
                <w:lang w:val="fr-FR"/>
              </w:rPr>
              <w:t>106 038,02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9D4B96F" w14:textId="77777777">
            <w:pPr>
              <w:pStyle w:val="Tab3LastColNonGras"/>
              <w:rPr>
                <w:lang w:val="fr-FR"/>
              </w:rPr>
            </w:pPr>
            <w:r>
              <w:rPr>
                <w:lang w:val="fr-FR"/>
              </w:rPr>
              <w:t>0,03</w:t>
            </w:r>
          </w:p>
        </w:tc>
      </w:tr>
      <w:tr w14:paraId="6F2445F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14144A0" w14:textId="77777777">
            <w:pPr>
              <w:pStyle w:val="Tab3FirstColNonGras"/>
              <w:rPr>
                <w:lang w:val="fr-FR"/>
              </w:rPr>
            </w:pPr>
            <w:r>
              <w:rPr>
                <w:lang w:val="fr-FR"/>
              </w:rPr>
              <w:t>PTC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FF29E5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9B259E2" w14:textId="77777777">
            <w:pPr>
              <w:pStyle w:val="Tab3MiddleColNonGras"/>
              <w:rPr>
                <w:lang w:val="fr-FR"/>
              </w:rPr>
            </w:pPr>
            <w:r>
              <w:rPr>
                <w:lang w:val="fr-FR"/>
              </w:rPr>
              <w:t>528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A2F15EE" w14:textId="77777777">
            <w:pPr>
              <w:pStyle w:val="Tab3MiddleColNonGras"/>
              <w:rPr>
                <w:lang w:val="fr-FR"/>
              </w:rPr>
            </w:pPr>
            <w:r>
              <w:rPr>
                <w:lang w:val="fr-FR"/>
              </w:rPr>
              <w:t>90 995,52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B693BB4" w14:textId="77777777">
            <w:pPr>
              <w:pStyle w:val="Tab3LastColNonGras"/>
              <w:rPr>
                <w:lang w:val="fr-FR"/>
              </w:rPr>
            </w:pPr>
            <w:r>
              <w:rPr>
                <w:lang w:val="fr-FR"/>
              </w:rPr>
              <w:t>0,03</w:t>
            </w:r>
          </w:p>
        </w:tc>
      </w:tr>
      <w:tr w14:paraId="4F6ECB8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D9D5CA3" w14:textId="77777777">
            <w:pPr>
              <w:pStyle w:val="Tab3FirstColNonGras"/>
              <w:rPr>
                <w:lang w:val="fr-FR"/>
              </w:rPr>
            </w:pPr>
            <w:r>
              <w:rPr>
                <w:lang w:val="fr-FR"/>
              </w:rPr>
              <w:t>RECRUIT HOLDINGS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8F7CABA"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52948E4" w14:textId="77777777">
            <w:pPr>
              <w:pStyle w:val="Tab3MiddleColNonGras"/>
              <w:rPr>
                <w:lang w:val="fr-FR"/>
              </w:rPr>
            </w:pPr>
            <w:r>
              <w:rPr>
                <w:lang w:val="fr-FR"/>
              </w:rPr>
              <w:t>7 700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BDE2E78" w14:textId="77777777">
            <w:pPr>
              <w:pStyle w:val="Tab3MiddleColNonGras"/>
              <w:rPr>
                <w:lang w:val="fr-FR"/>
              </w:rPr>
            </w:pPr>
            <w:r>
              <w:rPr>
                <w:lang w:val="fr-FR"/>
              </w:rPr>
              <w:t>454 979,44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5A96AB1" w14:textId="77777777">
            <w:pPr>
              <w:pStyle w:val="Tab3LastColNonGras"/>
              <w:rPr>
                <w:lang w:val="fr-FR"/>
              </w:rPr>
            </w:pPr>
            <w:r>
              <w:rPr>
                <w:lang w:val="fr-FR"/>
              </w:rPr>
              <w:t>0,13</w:t>
            </w:r>
          </w:p>
        </w:tc>
      </w:tr>
      <w:tr w14:paraId="7F9DAF1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88237CE" w14:textId="77777777">
            <w:pPr>
              <w:pStyle w:val="Tab3FirstColNonGras"/>
              <w:rPr>
                <w:lang w:val="fr-FR"/>
              </w:rPr>
            </w:pPr>
            <w:r>
              <w:rPr>
                <w:lang w:val="fr-FR"/>
              </w:rPr>
              <w:t>RESTAURANT BRANDS INTL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6A3C428"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3A92912" w14:textId="77777777">
            <w:pPr>
              <w:pStyle w:val="Tab3MiddleColNonGras"/>
              <w:rPr>
                <w:lang w:val="fr-FR"/>
              </w:rPr>
            </w:pPr>
            <w:r>
              <w:rPr>
                <w:lang w:val="fr-FR"/>
              </w:rPr>
              <w:t>1 452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B9958A6" w14:textId="77777777">
            <w:pPr>
              <w:pStyle w:val="Tab3MiddleColNonGras"/>
              <w:rPr>
                <w:lang w:val="fr-FR"/>
              </w:rPr>
            </w:pPr>
            <w:r>
              <w:rPr>
                <w:lang w:val="fr-FR"/>
              </w:rPr>
              <w:t>96 120,61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4EAD296" w14:textId="77777777">
            <w:pPr>
              <w:pStyle w:val="Tab3LastColNonGras"/>
              <w:rPr>
                <w:lang w:val="fr-FR"/>
              </w:rPr>
            </w:pPr>
            <w:r>
              <w:rPr>
                <w:lang w:val="fr-FR"/>
              </w:rPr>
              <w:t>0,03</w:t>
            </w:r>
          </w:p>
        </w:tc>
      </w:tr>
      <w:tr w14:paraId="706F5FE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F53D795" w14:textId="77777777">
            <w:pPr>
              <w:pStyle w:val="Tab3FirstColNonGras"/>
              <w:rPr>
                <w:lang w:val="fr-FR"/>
              </w:rPr>
            </w:pPr>
            <w:r>
              <w:rPr>
                <w:lang w:val="fr-FR"/>
              </w:rPr>
              <w:t>RITCHIE BROS AUCTION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E824646"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6CEA86C" w14:textId="77777777">
            <w:pPr>
              <w:pStyle w:val="Tab3MiddleColNonGras"/>
              <w:rPr>
                <w:lang w:val="fr-FR"/>
              </w:rPr>
            </w:pPr>
            <w:r>
              <w:rPr>
                <w:lang w:val="fr-FR"/>
              </w:rPr>
              <w:t>1 026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1200B87" w14:textId="77777777">
            <w:pPr>
              <w:pStyle w:val="Tab3MiddleColNonGras"/>
              <w:rPr>
                <w:lang w:val="fr-FR"/>
              </w:rPr>
            </w:pPr>
            <w:r>
              <w:rPr>
                <w:lang w:val="fr-FR"/>
              </w:rPr>
              <w:t>108 778,66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5672125" w14:textId="77777777">
            <w:pPr>
              <w:pStyle w:val="Tab3LastColNonGras"/>
              <w:rPr>
                <w:lang w:val="fr-FR"/>
              </w:rPr>
            </w:pPr>
            <w:r>
              <w:rPr>
                <w:lang w:val="fr-FR"/>
              </w:rPr>
              <w:t>0,03</w:t>
            </w:r>
          </w:p>
        </w:tc>
      </w:tr>
      <w:tr w14:paraId="43EC1B5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BBE39F7" w14:textId="77777777">
            <w:pPr>
              <w:pStyle w:val="Tab3FirstColNonGras"/>
              <w:rPr>
                <w:lang w:val="fr-FR"/>
              </w:rPr>
            </w:pPr>
            <w:r>
              <w:rPr>
                <w:lang w:val="fr-FR"/>
              </w:rPr>
              <w:t>ROLLINS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BC2A30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4F62057" w14:textId="77777777">
            <w:pPr>
              <w:pStyle w:val="Tab3MiddleColNonGras"/>
              <w:rPr>
                <w:lang w:val="fr-FR"/>
              </w:rPr>
            </w:pPr>
            <w:r>
              <w:rPr>
                <w:lang w:val="fr-FR"/>
              </w:rPr>
              <w:t>3 329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1434B52" w14:textId="77777777">
            <w:pPr>
              <w:pStyle w:val="Tab3MiddleColNonGras"/>
              <w:rPr>
                <w:lang w:val="fr-FR"/>
              </w:rPr>
            </w:pPr>
            <w:r>
              <w:rPr>
                <w:lang w:val="fr-FR"/>
              </w:rPr>
              <w:t>187 822,18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DAD7EF4" w14:textId="77777777">
            <w:pPr>
              <w:pStyle w:val="Tab3LastColNonGras"/>
              <w:rPr>
                <w:lang w:val="fr-FR"/>
              </w:rPr>
            </w:pPr>
            <w:r>
              <w:rPr>
                <w:lang w:val="fr-FR"/>
              </w:rPr>
              <w:t>0,05</w:t>
            </w:r>
          </w:p>
        </w:tc>
      </w:tr>
      <w:tr w14:paraId="545308B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3E214D3" w14:textId="77777777">
            <w:pPr>
              <w:pStyle w:val="Tab3FirstColNonGras"/>
              <w:rPr>
                <w:lang w:val="fr-FR"/>
              </w:rPr>
            </w:pPr>
            <w:r>
              <w:rPr>
                <w:lang w:val="fr-FR"/>
              </w:rPr>
              <w:t>SAGE GROUP PLC/THE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345C748"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6FAECD2" w14:textId="77777777">
            <w:pPr>
              <w:pStyle w:val="Tab3MiddleColNonGras"/>
              <w:rPr>
                <w:lang w:val="fr-FR"/>
              </w:rPr>
            </w:pPr>
            <w:r>
              <w:rPr>
                <w:lang w:val="fr-FR"/>
              </w:rPr>
              <w:t>3 266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35C2210" w14:textId="77777777">
            <w:pPr>
              <w:pStyle w:val="Tab3MiddleColNonGras"/>
              <w:rPr>
                <w:lang w:val="fr-FR"/>
              </w:rPr>
            </w:pPr>
            <w:r>
              <w:rPr>
                <w:lang w:val="fr-FR"/>
              </w:rPr>
              <w:t>55 967,31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0937743" w14:textId="77777777">
            <w:pPr>
              <w:pStyle w:val="Tab3LastColNonGras"/>
              <w:rPr>
                <w:lang w:val="fr-FR"/>
              </w:rPr>
            </w:pPr>
            <w:r>
              <w:rPr>
                <w:lang w:val="fr-FR"/>
              </w:rPr>
              <w:t>0,02</w:t>
            </w:r>
          </w:p>
        </w:tc>
      </w:tr>
      <w:tr w14:paraId="0FDB458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081A02F" w14:textId="77777777">
            <w:pPr>
              <w:pStyle w:val="Tab3FirstColNonGras"/>
              <w:rPr>
                <w:lang w:val="fr-FR"/>
              </w:rPr>
            </w:pPr>
            <w:r>
              <w:rPr>
                <w:lang w:val="fr-FR"/>
              </w:rPr>
              <w:t>SALESFORCE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7EAE6C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9A4CAAB" w14:textId="77777777">
            <w:pPr>
              <w:pStyle w:val="Tab3MiddleColNonGras"/>
              <w:rPr>
                <w:lang w:val="fr-FR"/>
              </w:rPr>
            </w:pPr>
            <w:r>
              <w:rPr>
                <w:lang w:val="fr-FR"/>
              </w:rPr>
              <w:t>11 590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1FFE28D" w14:textId="77777777">
            <w:pPr>
              <w:pStyle w:val="Tab3MiddleColNonGras"/>
              <w:rPr>
                <w:lang w:val="fr-FR"/>
              </w:rPr>
            </w:pPr>
            <w:r>
              <w:rPr>
                <w:lang w:val="fr-FR"/>
              </w:rPr>
              <w:t>3 160 477,10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0A332AA" w14:textId="77777777">
            <w:pPr>
              <w:pStyle w:val="Tab3LastColNonGras"/>
              <w:rPr>
                <w:lang w:val="fr-FR"/>
              </w:rPr>
            </w:pPr>
            <w:r>
              <w:rPr>
                <w:lang w:val="fr-FR"/>
              </w:rPr>
              <w:t>0,91</w:t>
            </w:r>
          </w:p>
        </w:tc>
      </w:tr>
      <w:tr w14:paraId="5541740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A0808FD" w14:textId="77777777">
            <w:pPr>
              <w:pStyle w:val="Tab3FirstColNonGras"/>
              <w:rPr>
                <w:lang w:val="fr-FR"/>
              </w:rPr>
            </w:pPr>
            <w:r>
              <w:rPr>
                <w:lang w:val="fr-FR"/>
              </w:rPr>
              <w:t>SCSK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14DC44A"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F701C1B" w14:textId="77777777">
            <w:pPr>
              <w:pStyle w:val="Tab3MiddleColNonGras"/>
              <w:rPr>
                <w:lang w:val="fr-FR"/>
              </w:rPr>
            </w:pPr>
            <w:r>
              <w:rPr>
                <w:lang w:val="fr-FR"/>
              </w:rPr>
              <w:t>1 000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AF30DC0" w14:textId="77777777">
            <w:pPr>
              <w:pStyle w:val="Tab3MiddleColNonGras"/>
              <w:rPr>
                <w:lang w:val="fr-FR"/>
              </w:rPr>
            </w:pPr>
            <w:r>
              <w:rPr>
                <w:lang w:val="fr-FR"/>
              </w:rPr>
              <w:t>30 101,42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96365B3" w14:textId="77777777">
            <w:pPr>
              <w:pStyle w:val="Tab3LastColNonGras"/>
              <w:rPr>
                <w:lang w:val="fr-FR"/>
              </w:rPr>
            </w:pPr>
            <w:r>
              <w:rPr>
                <w:lang w:val="fr-FR"/>
              </w:rPr>
              <w:t>0,01</w:t>
            </w:r>
          </w:p>
        </w:tc>
      </w:tr>
      <w:tr w14:paraId="17CDC0A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B0DB90A" w14:textId="77777777">
            <w:pPr>
              <w:pStyle w:val="Tab3FirstColNonGras"/>
              <w:rPr>
                <w:lang w:val="fr-FR"/>
              </w:rPr>
            </w:pPr>
            <w:r>
              <w:rPr>
                <w:lang w:val="fr-FR"/>
              </w:rPr>
              <w:t>SERVICENOW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88095D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8003CF5" w14:textId="77777777">
            <w:pPr>
              <w:pStyle w:val="Tab3MiddleColNonGras"/>
              <w:rPr>
                <w:lang w:val="fr-FR"/>
              </w:rPr>
            </w:pPr>
            <w:r>
              <w:rPr>
                <w:lang w:val="fr-FR"/>
              </w:rPr>
              <w:t>2 551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C2F482A" w14:textId="77777777">
            <w:pPr>
              <w:pStyle w:val="Tab3MiddleColNonGras"/>
              <w:rPr>
                <w:lang w:val="fr-FR"/>
              </w:rPr>
            </w:pPr>
            <w:r>
              <w:rPr>
                <w:lang w:val="fr-FR"/>
              </w:rPr>
              <w:t>2 622 632,08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CF03FD6" w14:textId="77777777">
            <w:pPr>
              <w:pStyle w:val="Tab3LastColNonGras"/>
              <w:rPr>
                <w:lang w:val="fr-FR"/>
              </w:rPr>
            </w:pPr>
            <w:r>
              <w:rPr>
                <w:lang w:val="fr-FR"/>
              </w:rPr>
              <w:t>0,75</w:t>
            </w:r>
          </w:p>
        </w:tc>
      </w:tr>
      <w:tr w14:paraId="591D87F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B6453DB" w14:textId="77777777">
            <w:pPr>
              <w:pStyle w:val="Tab3FirstColNonGras"/>
              <w:rPr>
                <w:lang w:val="fr-FR"/>
              </w:rPr>
            </w:pPr>
            <w:r>
              <w:rPr>
                <w:lang w:val="fr-FR"/>
              </w:rPr>
              <w:t>SYNOPSYS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2F1D13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1F366CB" w14:textId="77777777">
            <w:pPr>
              <w:pStyle w:val="Tab3MiddleColNonGras"/>
              <w:rPr>
                <w:lang w:val="fr-FR"/>
              </w:rPr>
            </w:pPr>
            <w:r>
              <w:rPr>
                <w:lang w:val="fr-FR"/>
              </w:rPr>
              <w:t>717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1BB6EB6" w14:textId="77777777">
            <w:pPr>
              <w:pStyle w:val="Tab3MiddleColNonGras"/>
              <w:rPr>
                <w:lang w:val="fr-FR"/>
              </w:rPr>
            </w:pPr>
            <w:r>
              <w:rPr>
                <w:lang w:val="fr-FR"/>
              </w:rPr>
              <w:t>367 591,56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E93046D" w14:textId="77777777">
            <w:pPr>
              <w:pStyle w:val="Tab3LastColNonGras"/>
              <w:rPr>
                <w:lang w:val="fr-FR"/>
              </w:rPr>
            </w:pPr>
            <w:r>
              <w:rPr>
                <w:lang w:val="fr-FR"/>
              </w:rPr>
              <w:t>0,11</w:t>
            </w:r>
          </w:p>
        </w:tc>
      </w:tr>
      <w:tr w14:paraId="2AF3859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CF4E0D2" w14:textId="77777777">
            <w:pPr>
              <w:pStyle w:val="Tab3FirstColNonGras"/>
              <w:rPr>
                <w:lang w:val="fr-FR"/>
              </w:rPr>
            </w:pPr>
            <w:r>
              <w:rPr>
                <w:lang w:val="fr-FR"/>
              </w:rPr>
              <w:t>TEMENOS AG - 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961C1F0"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659F25F" w14:textId="77777777">
            <w:pPr>
              <w:pStyle w:val="Tab3MiddleColNonGras"/>
              <w:rPr>
                <w:lang w:val="fr-FR"/>
              </w:rPr>
            </w:pPr>
            <w:r>
              <w:rPr>
                <w:lang w:val="fr-FR"/>
              </w:rPr>
              <w:t>673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3B40CB6" w14:textId="77777777">
            <w:pPr>
              <w:pStyle w:val="Tab3MiddleColNonGras"/>
              <w:rPr>
                <w:lang w:val="fr-FR"/>
              </w:rPr>
            </w:pPr>
            <w:r>
              <w:rPr>
                <w:lang w:val="fr-FR"/>
              </w:rPr>
              <w:t>47 982,62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D589907" w14:textId="77777777">
            <w:pPr>
              <w:pStyle w:val="Tab3LastColNonGras"/>
              <w:rPr>
                <w:lang w:val="fr-FR"/>
              </w:rPr>
            </w:pPr>
            <w:r>
              <w:rPr>
                <w:lang w:val="fr-FR"/>
              </w:rPr>
              <w:t>0,01</w:t>
            </w:r>
          </w:p>
        </w:tc>
      </w:tr>
      <w:tr w14:paraId="46CCA9C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B581EAF" w14:textId="77777777">
            <w:pPr>
              <w:pStyle w:val="Tab3FirstColNonGras"/>
              <w:rPr>
                <w:lang w:val="fr-FR"/>
              </w:rPr>
            </w:pPr>
            <w:r>
              <w:rPr>
                <w:lang w:val="fr-FR"/>
              </w:rPr>
              <w:t>TESLA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E9E07F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FA3D016" w14:textId="77777777">
            <w:pPr>
              <w:pStyle w:val="Tab3MiddleColNonGras"/>
              <w:rPr>
                <w:lang w:val="fr-FR"/>
              </w:rPr>
            </w:pPr>
            <w:r>
              <w:rPr>
                <w:lang w:val="fr-FR"/>
              </w:rPr>
              <w:t>38 629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A72E1E3" w14:textId="77777777">
            <w:pPr>
              <w:pStyle w:val="Tab3MiddleColNonGras"/>
              <w:rPr>
                <w:lang w:val="fr-FR"/>
              </w:rPr>
            </w:pPr>
            <w:r>
              <w:rPr>
                <w:lang w:val="fr-FR"/>
              </w:rPr>
              <w:t>12 270 888,14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450B216" w14:textId="77777777">
            <w:pPr>
              <w:pStyle w:val="Tab3LastColNonGras"/>
              <w:rPr>
                <w:lang w:val="fr-FR"/>
              </w:rPr>
            </w:pPr>
            <w:r>
              <w:rPr>
                <w:lang w:val="fr-FR"/>
              </w:rPr>
              <w:t>3,53</w:t>
            </w:r>
          </w:p>
        </w:tc>
      </w:tr>
      <w:tr w14:paraId="772EF57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499B1C0" w14:textId="77777777">
            <w:pPr>
              <w:pStyle w:val="Tab3FirstColNonGras"/>
              <w:rPr>
                <w:lang w:val="fr-FR"/>
              </w:rPr>
            </w:pPr>
            <w:r>
              <w:rPr>
                <w:lang w:val="fr-FR"/>
              </w:rPr>
              <w:t>TFI INTERNATIONAL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744DBA9"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7AB8BC0" w14:textId="77777777">
            <w:pPr>
              <w:pStyle w:val="Tab3MiddleColNonGras"/>
              <w:rPr>
                <w:lang w:val="fr-FR"/>
              </w:rPr>
            </w:pPr>
            <w:r>
              <w:rPr>
                <w:lang w:val="fr-FR"/>
              </w:rPr>
              <w:t>584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B1D4F25" w14:textId="77777777">
            <w:pPr>
              <w:pStyle w:val="Tab3MiddleColNonGras"/>
              <w:rPr>
                <w:lang w:val="fr-FR"/>
              </w:rPr>
            </w:pPr>
            <w:r>
              <w:rPr>
                <w:lang w:val="fr-FR"/>
              </w:rPr>
              <w:t>52 317,15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E7204CC" w14:textId="77777777">
            <w:pPr>
              <w:pStyle w:val="Tab3LastColNonGras"/>
              <w:rPr>
                <w:lang w:val="fr-FR"/>
              </w:rPr>
            </w:pPr>
            <w:r>
              <w:rPr>
                <w:lang w:val="fr-FR"/>
              </w:rPr>
              <w:t>0,02</w:t>
            </w:r>
          </w:p>
        </w:tc>
      </w:tr>
      <w:tr w14:paraId="52D8F46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F8B39FB" w14:textId="77777777">
            <w:pPr>
              <w:pStyle w:val="Tab3FirstColNonGras"/>
              <w:rPr>
                <w:lang w:val="fr-FR"/>
              </w:rPr>
            </w:pPr>
            <w:r>
              <w:rPr>
                <w:lang w:val="fr-FR"/>
              </w:rPr>
              <w:t>TOHO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B3C401A"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1741131" w14:textId="77777777">
            <w:pPr>
              <w:pStyle w:val="Tab3MiddleColNonGras"/>
              <w:rPr>
                <w:lang w:val="fr-FR"/>
              </w:rPr>
            </w:pPr>
            <w:r>
              <w:rPr>
                <w:lang w:val="fr-FR"/>
              </w:rPr>
              <w:t>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CC4666E" w14:textId="77777777">
            <w:pPr>
              <w:pStyle w:val="Tab3MiddleColNonGras"/>
              <w:rPr>
                <w:lang w:val="fr-FR"/>
              </w:rPr>
            </w:pPr>
            <w:r>
              <w:rPr>
                <w:lang w:val="fr-FR"/>
              </w:rPr>
              <w:t>29 457,58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59A7DCD" w14:textId="77777777">
            <w:pPr>
              <w:pStyle w:val="Tab3LastColNonGras"/>
              <w:rPr>
                <w:lang w:val="fr-FR"/>
              </w:rPr>
            </w:pPr>
            <w:r>
              <w:rPr>
                <w:lang w:val="fr-FR"/>
              </w:rPr>
              <w:t>0,01</w:t>
            </w:r>
          </w:p>
        </w:tc>
      </w:tr>
      <w:tr w14:paraId="27C1FD2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82589A1" w14:textId="77777777">
            <w:pPr>
              <w:pStyle w:val="Tab3FirstColNonGras"/>
              <w:rPr>
                <w:lang w:val="fr-FR"/>
              </w:rPr>
            </w:pPr>
            <w:r>
              <w:rPr>
                <w:lang w:val="fr-FR"/>
              </w:rPr>
              <w:t>TREND MICRO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31DE0C0"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C43D182" w14:textId="77777777">
            <w:pPr>
              <w:pStyle w:val="Tab3MiddleColNonGras"/>
              <w:rPr>
                <w:lang w:val="fr-FR"/>
              </w:rPr>
            </w:pPr>
            <w:r>
              <w:rPr>
                <w:lang w:val="fr-FR"/>
              </w:rPr>
              <w:t>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0C94511" w14:textId="77777777">
            <w:pPr>
              <w:pStyle w:val="Tab3MiddleColNonGras"/>
              <w:rPr>
                <w:lang w:val="fr-FR"/>
              </w:rPr>
            </w:pPr>
            <w:r>
              <w:rPr>
                <w:lang w:val="fr-FR"/>
              </w:rPr>
              <w:t>41 442,77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46B69AE" w14:textId="77777777">
            <w:pPr>
              <w:pStyle w:val="Tab3LastColNonGras"/>
              <w:rPr>
                <w:lang w:val="fr-FR"/>
              </w:rPr>
            </w:pPr>
            <w:r>
              <w:rPr>
                <w:lang w:val="fr-FR"/>
              </w:rPr>
              <w:t>0,01</w:t>
            </w:r>
          </w:p>
        </w:tc>
      </w:tr>
      <w:tr w14:paraId="5594F07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819527A" w14:textId="77777777">
            <w:pPr>
              <w:pStyle w:val="Tab3FirstColNonGras"/>
              <w:rPr>
                <w:lang w:val="fr-FR"/>
              </w:rPr>
            </w:pPr>
            <w:r>
              <w:rPr>
                <w:lang w:val="fr-FR"/>
              </w:rPr>
              <w:t>TYLER TECHNOLOGIES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E7DEA9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F9D5549" w14:textId="77777777">
            <w:pPr>
              <w:pStyle w:val="Tab3MiddleColNonGras"/>
              <w:rPr>
                <w:lang w:val="fr-FR"/>
              </w:rPr>
            </w:pPr>
            <w:r>
              <w:rPr>
                <w:lang w:val="fr-FR"/>
              </w:rPr>
              <w:t>243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1DD8E5C" w14:textId="77777777">
            <w:pPr>
              <w:pStyle w:val="Tab3MiddleColNonGras"/>
              <w:rPr>
                <w:lang w:val="fr-FR"/>
              </w:rPr>
            </w:pPr>
            <w:r>
              <w:rPr>
                <w:lang w:val="fr-FR"/>
              </w:rPr>
              <w:t>144 060,12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BAB4C24" w14:textId="77777777">
            <w:pPr>
              <w:pStyle w:val="Tab3LastColNonGras"/>
              <w:rPr>
                <w:lang w:val="fr-FR"/>
              </w:rPr>
            </w:pPr>
            <w:r>
              <w:rPr>
                <w:lang w:val="fr-FR"/>
              </w:rPr>
              <w:t>0,04</w:t>
            </w:r>
          </w:p>
        </w:tc>
      </w:tr>
      <w:tr w14:paraId="70AD658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DDB15CC" w14:textId="77777777">
            <w:pPr>
              <w:pStyle w:val="Tab3FirstColNonGras"/>
              <w:rPr>
                <w:lang w:val="fr-FR"/>
              </w:rPr>
            </w:pPr>
            <w:r>
              <w:rPr>
                <w:lang w:val="fr-FR"/>
              </w:rPr>
              <w:t>WORKDAY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8E00EE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6A85495" w14:textId="77777777">
            <w:pPr>
              <w:pStyle w:val="Tab3MiddleColNonGras"/>
              <w:rPr>
                <w:lang w:val="fr-FR"/>
              </w:rPr>
            </w:pPr>
            <w:r>
              <w:rPr>
                <w:lang w:val="fr-FR"/>
              </w:rPr>
              <w:t>1 161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2C1DFD3" w14:textId="77777777">
            <w:pPr>
              <w:pStyle w:val="Tab3MiddleColNonGras"/>
              <w:rPr>
                <w:lang w:val="fr-FR"/>
              </w:rPr>
            </w:pPr>
            <w:r>
              <w:rPr>
                <w:lang w:val="fr-FR"/>
              </w:rPr>
              <w:t>278 640,00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2B479B1" w14:textId="77777777">
            <w:pPr>
              <w:pStyle w:val="Tab3LastColNonGras"/>
              <w:rPr>
                <w:lang w:val="fr-FR"/>
              </w:rPr>
            </w:pPr>
            <w:r>
              <w:rPr>
                <w:lang w:val="fr-FR"/>
              </w:rPr>
              <w:t>0,08</w:t>
            </w:r>
          </w:p>
        </w:tc>
      </w:tr>
      <w:tr w14:paraId="3F02D1F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71D9B6D" w14:textId="77777777">
            <w:pPr>
              <w:pStyle w:val="Tab3FirstColNonGras"/>
              <w:rPr>
                <w:lang w:val="fr-FR"/>
              </w:rPr>
            </w:pPr>
            <w:r>
              <w:rPr>
                <w:lang w:val="fr-FR"/>
              </w:rPr>
              <w:t>WPP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5E09045"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30B8195" w14:textId="77777777">
            <w:pPr>
              <w:pStyle w:val="Tab3MiddleColNonGras"/>
              <w:rPr>
                <w:lang w:val="fr-FR"/>
              </w:rPr>
            </w:pPr>
            <w:r>
              <w:rPr>
                <w:lang w:val="fr-FR"/>
              </w:rPr>
              <w:t>9 438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B76F4CB" w14:textId="77777777">
            <w:pPr>
              <w:pStyle w:val="Tab3MiddleColNonGras"/>
              <w:rPr>
                <w:lang w:val="fr-FR"/>
              </w:rPr>
            </w:pPr>
            <w:r>
              <w:rPr>
                <w:lang w:val="fr-FR"/>
              </w:rPr>
              <w:t>66 296,89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D99C40B" w14:textId="77777777">
            <w:pPr>
              <w:pStyle w:val="Tab3LastColNonGras"/>
              <w:rPr>
                <w:lang w:val="fr-FR"/>
              </w:rPr>
            </w:pPr>
            <w:r>
              <w:rPr>
                <w:lang w:val="fr-FR"/>
              </w:rPr>
              <w:t>0,02</w:t>
            </w:r>
          </w:p>
        </w:tc>
      </w:tr>
      <w:tr w14:paraId="0A5E792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A3D767F" w14:textId="77777777">
            <w:pPr>
              <w:pStyle w:val="Tab3FirstColNonGras"/>
              <w:rPr>
                <w:lang w:val="fr-FR"/>
              </w:rPr>
            </w:pPr>
            <w:r>
              <w:rPr>
                <w:lang w:val="fr-FR"/>
              </w:rPr>
              <w:t>WSP GLOBAL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2F7E5D0"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B384A30" w14:textId="77777777">
            <w:pPr>
              <w:pStyle w:val="Tab3MiddleColNonGras"/>
              <w:rPr>
                <w:lang w:val="fr-FR"/>
              </w:rPr>
            </w:pPr>
            <w:r>
              <w:rPr>
                <w:lang w:val="fr-FR"/>
              </w:rPr>
              <w:t>1 593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982BCF4" w14:textId="77777777">
            <w:pPr>
              <w:pStyle w:val="Tab3MiddleColNonGras"/>
              <w:rPr>
                <w:lang w:val="fr-FR"/>
              </w:rPr>
            </w:pPr>
            <w:r>
              <w:rPr>
                <w:lang w:val="fr-FR"/>
              </w:rPr>
              <w:t>324 279,12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79781E0" w14:textId="77777777">
            <w:pPr>
              <w:pStyle w:val="Tab3LastColNonGras"/>
              <w:rPr>
                <w:lang w:val="fr-FR"/>
              </w:rPr>
            </w:pPr>
            <w:r>
              <w:rPr>
                <w:lang w:val="fr-FR"/>
              </w:rPr>
              <w:t>0,09</w:t>
            </w:r>
          </w:p>
        </w:tc>
      </w:tr>
      <w:tr w14:paraId="1635EA7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55A4333" w14:textId="77777777">
            <w:pPr>
              <w:pStyle w:val="Tab3FirstColNonGras"/>
              <w:rPr>
                <w:lang w:val="fr-FR"/>
              </w:rPr>
            </w:pPr>
            <w:r>
              <w:rPr>
                <w:lang w:val="fr-FR"/>
              </w:rPr>
              <w:t>XYLEM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2D0F5A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56D3115" w14:textId="77777777">
            <w:pPr>
              <w:pStyle w:val="Tab3MiddleColNonGras"/>
              <w:rPr>
                <w:lang w:val="fr-FR"/>
              </w:rPr>
            </w:pPr>
            <w:r>
              <w:rPr>
                <w:lang w:val="fr-FR"/>
              </w:rPr>
              <w:t>2 774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900C08E" w14:textId="77777777">
            <w:pPr>
              <w:pStyle w:val="Tab3MiddleColNonGras"/>
              <w:rPr>
                <w:lang w:val="fr-FR"/>
              </w:rPr>
            </w:pPr>
            <w:r>
              <w:rPr>
                <w:lang w:val="fr-FR"/>
              </w:rPr>
              <w:t>358 844,64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CE7DDD3" w14:textId="77777777">
            <w:pPr>
              <w:pStyle w:val="Tab3LastColNonGras"/>
              <w:rPr>
                <w:lang w:val="fr-FR"/>
              </w:rPr>
            </w:pPr>
            <w:r>
              <w:rPr>
                <w:lang w:val="fr-FR"/>
              </w:rPr>
              <w:t>0,10</w:t>
            </w:r>
          </w:p>
        </w:tc>
      </w:tr>
      <w:tr w14:paraId="00E267D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D7129DB" w14:textId="77777777">
            <w:pPr>
              <w:pStyle w:val="Tab3FirstColNonGras"/>
              <w:rPr>
                <w:lang w:val="fr-FR"/>
              </w:rPr>
            </w:pPr>
            <w:r>
              <w:rPr>
                <w:lang w:val="fr-FR"/>
              </w:rPr>
              <w:t>ZALANDO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95F80B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FDAA5C2" w14:textId="77777777">
            <w:pPr>
              <w:pStyle w:val="Tab3MiddleColNonGras"/>
              <w:rPr>
                <w:lang w:val="fr-FR"/>
              </w:rPr>
            </w:pPr>
            <w:r>
              <w:rPr>
                <w:lang w:val="fr-FR"/>
              </w:rPr>
              <w:t>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215C7CF" w14:textId="77777777">
            <w:pPr>
              <w:pStyle w:val="Tab3MiddleColNonGras"/>
              <w:rPr>
                <w:lang w:val="fr-FR"/>
              </w:rPr>
            </w:pPr>
            <w:r>
              <w:rPr>
                <w:lang w:val="fr-FR"/>
              </w:rPr>
              <w:t>32,81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89F4337" w14:textId="77777777">
            <w:pPr>
              <w:pStyle w:val="Tab3LastColNonGras"/>
              <w:rPr>
                <w:lang w:val="fr-FR"/>
              </w:rPr>
            </w:pPr>
            <w:r>
              <w:rPr>
                <w:lang w:val="fr-FR"/>
              </w:rPr>
              <w:t>0,00</w:t>
            </w:r>
          </w:p>
        </w:tc>
      </w:tr>
      <w:tr w14:paraId="5036625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8B6EBFE" w14:textId="77777777">
            <w:pPr>
              <w:pStyle w:val="Tab3FirstColNonGras"/>
              <w:rPr>
                <w:lang w:val="fr-FR"/>
              </w:rPr>
            </w:pPr>
            <w:r>
              <w:rPr>
                <w:lang w:val="fr-FR"/>
              </w:rPr>
              <w:t>ZOZO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C8821EC"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D8A5E59" w14:textId="77777777">
            <w:pPr>
              <w:pStyle w:val="Tab3MiddleColNonGras"/>
              <w:rPr>
                <w:lang w:val="fr-FR"/>
              </w:rPr>
            </w:pPr>
            <w:r>
              <w:rPr>
                <w:lang w:val="fr-FR"/>
              </w:rPr>
              <w:t>3 300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0524517" w14:textId="77777777">
            <w:pPr>
              <w:pStyle w:val="Tab3MiddleColNonGras"/>
              <w:rPr>
                <w:lang w:val="fr-FR"/>
              </w:rPr>
            </w:pPr>
            <w:r>
              <w:rPr>
                <w:lang w:val="fr-FR"/>
              </w:rPr>
              <w:t>35 571,33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F314524" w14:textId="77777777">
            <w:pPr>
              <w:pStyle w:val="Tab3LastColNonGras"/>
              <w:rPr>
                <w:lang w:val="fr-FR"/>
              </w:rPr>
            </w:pPr>
            <w:r>
              <w:rPr>
                <w:lang w:val="fr-FR"/>
              </w:rPr>
              <w:t>0,01</w:t>
            </w:r>
          </w:p>
        </w:tc>
      </w:tr>
    </w:tbl>
    <w:p w:rsidR="001F4AEE" w14:paraId="5167EAB0" w14:textId="77777777">
      <w:pPr>
        <w:sectPr>
          <w:headerReference w:type="default" r:id="rId42"/>
          <w:footerReference w:type="default" r:id="rId43"/>
          <w:pgSz w:w="11900" w:h="16840"/>
          <w:pgMar w:top="2154" w:right="1134" w:bottom="1134" w:left="1134" w:header="400" w:footer="400" w:gutter="0"/>
          <w:cols w:space="720"/>
        </w:sectPr>
      </w:pPr>
    </w:p>
    <w:p w:rsidR="001F4AEE" w14:paraId="1AA35388" w14:textId="77777777">
      <w:pPr>
        <w:spacing w:line="30" w:lineRule="exact"/>
        <w:rPr>
          <w:sz w:val="3"/>
        </w:rPr>
      </w:pPr>
    </w:p>
    <w:p w:rsidR="001F4AEE" w14:paraId="06C849F9" w14:textId="77777777">
      <w:pPr>
        <w:pStyle w:val="TechnicalBookmark"/>
        <w:rPr>
          <w:lang w:val="fr-FR"/>
        </w:rPr>
      </w:pPr>
      <w:r>
        <w:rPr>
          <w:lang w:val="fr-FR"/>
        </w:rPr>
        <w:fldChar w:fldCharType="begin"/>
      </w:r>
      <w:r>
        <w:rPr>
          <w:lang w:val="fr-FR"/>
        </w:rPr>
        <w:instrText xml:space="preserve"> SET F1D1768010523C452AC7C629418D6699 "" </w:instrText>
      </w:r>
      <w:r>
        <w:rPr>
          <w:lang w:val="fr-FR"/>
        </w:rPr>
        <w:fldChar w:fldCharType="separate"/>
      </w:r>
      <w:bookmarkStart w:id="98" w:name="F1D1768010523C452AC7C629418D6699"/>
      <w:bookmarkEnd w:id="98"/>
      <w:r>
        <w:rPr>
          <w:lang w:val="fr-FR"/>
        </w:rPr>
        <w:fldChar w:fldCharType="end"/>
      </w:r>
    </w:p>
    <w:p w:rsidR="001F4AEE" w14:paraId="4CCA8676" w14:textId="77777777">
      <w:pPr>
        <w:pStyle w:val="H2"/>
        <w:rPr>
          <w:lang w:val="fr-FR"/>
        </w:rPr>
      </w:pPr>
      <w:r>
        <w:rPr>
          <w:lang w:val="fr-FR"/>
        </w:rPr>
        <w:t xml:space="preserve">Inventaire des éléments de bilan </w:t>
      </w:r>
    </w:p>
    <w:p w:rsidR="001F4AEE" w14:paraId="10952EC4" w14:textId="77777777">
      <w:pPr>
        <w:pStyle w:val="NoRefToc"/>
        <w:rPr>
          <w:lang w:val="fr-FR"/>
        </w:rPr>
      </w:pPr>
    </w:p>
    <w:p w:rsidR="001F4AEE" w14:paraId="462FDD22" w14:textId="77777777">
      <w:pPr>
        <w:pStyle w:val="TechnicalBookmark"/>
        <w:rPr>
          <w:lang w:val="fr-FR"/>
        </w:rPr>
      </w:pPr>
      <w:r>
        <w:rPr>
          <w:lang w:val="fr-FR"/>
        </w:rPr>
        <w:fldChar w:fldCharType="begin"/>
      </w:r>
      <w:r>
        <w:rPr>
          <w:lang w:val="fr-FR"/>
        </w:rPr>
        <w:instrText xml:space="preserve"> SET F84CAEBD150186BFBA4299F8138196B8 "" </w:instrText>
      </w:r>
      <w:r>
        <w:rPr>
          <w:lang w:val="fr-FR"/>
        </w:rPr>
        <w:fldChar w:fldCharType="separate"/>
      </w:r>
      <w:bookmarkStart w:id="99" w:name="F84CAEBD150186BFBA4299F8138196B8"/>
      <w:bookmarkEnd w:id="99"/>
      <w:r>
        <w:rPr>
          <w:lang w:val="fr-FR"/>
        </w:rPr>
        <w:fldChar w:fldCharType="end"/>
      </w:r>
    </w:p>
    <w:p w:rsidR="001F4AEE" w14:paraId="35434994"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3865B213"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716A7FA4"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1DAF9E5B"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755AD28F" w14:textId="77777777">
            <w:pPr>
              <w:pStyle w:val="EnteteTabMiddleColBordure"/>
              <w:spacing w:line="184" w:lineRule="exact"/>
              <w:rPr>
                <w:lang w:val="fr-FR"/>
              </w:rPr>
            </w:pPr>
            <w:r>
              <w:rPr>
                <w:lang w:val="fr-FR"/>
              </w:rPr>
              <w:t>Quantité ou</w:t>
            </w:r>
          </w:p>
          <w:p w:rsidR="001F4AEE" w14:paraId="384CBF6C"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7358554B"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1ECD0DE4" w14:textId="77777777">
            <w:pPr>
              <w:pStyle w:val="EnteteTabLastColBordure"/>
              <w:spacing w:line="184" w:lineRule="exact"/>
              <w:rPr>
                <w:lang w:val="fr-FR"/>
              </w:rPr>
            </w:pPr>
            <w:r>
              <w:rPr>
                <w:lang w:val="fr-FR"/>
              </w:rPr>
              <w:t>% Actif</w:t>
            </w:r>
          </w:p>
          <w:p w:rsidR="001F4AEE" w14:paraId="3B9AB02E" w14:textId="77777777">
            <w:pPr>
              <w:pStyle w:val="EnteteTabLastColBordure"/>
              <w:spacing w:line="184" w:lineRule="exact"/>
              <w:rPr>
                <w:lang w:val="fr-FR"/>
              </w:rPr>
            </w:pPr>
            <w:r>
              <w:rPr>
                <w:lang w:val="fr-FR"/>
              </w:rPr>
              <w:t>Net</w:t>
            </w:r>
          </w:p>
        </w:tc>
      </w:tr>
      <w:tr w14:paraId="6FA9AB0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06D42D1" w14:textId="77777777">
            <w:pPr>
              <w:pStyle w:val="Tab3FirstColNonGras"/>
              <w:rPr>
                <w:lang w:val="fr-FR"/>
              </w:rPr>
            </w:pPr>
            <w:r>
              <w:rPr>
                <w:lang w:val="fr-FR"/>
              </w:rPr>
              <w:t>ZSCALER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AA9237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5C185E2" w14:textId="77777777">
            <w:pPr>
              <w:pStyle w:val="Tab3MiddleColNonGras"/>
              <w:rPr>
                <w:lang w:val="fr-FR"/>
              </w:rPr>
            </w:pPr>
            <w:r>
              <w:rPr>
                <w:lang w:val="fr-FR"/>
              </w:rPr>
              <w:t>532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C3A1528" w14:textId="77777777">
            <w:pPr>
              <w:pStyle w:val="Tab3MiddleColNonGras"/>
              <w:rPr>
                <w:lang w:val="fr-FR"/>
              </w:rPr>
            </w:pPr>
            <w:r>
              <w:rPr>
                <w:lang w:val="fr-FR"/>
              </w:rPr>
              <w:t>167 016,08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B4A624A" w14:textId="77777777">
            <w:pPr>
              <w:pStyle w:val="Tab3LastColNonGras"/>
              <w:rPr>
                <w:lang w:val="fr-FR"/>
              </w:rPr>
            </w:pPr>
            <w:r>
              <w:rPr>
                <w:lang w:val="fr-FR"/>
              </w:rPr>
              <w:t>0,05</w:t>
            </w:r>
          </w:p>
        </w:tc>
      </w:tr>
      <w:tr w14:paraId="7E1E97D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5B12954A" w14:textId="77777777">
            <w:pPr>
              <w:pStyle w:val="Tab1FirstColGras"/>
              <w:rPr>
                <w:lang w:val="fr-FR"/>
              </w:rPr>
            </w:pPr>
            <w:r>
              <w:rPr>
                <w:lang w:val="fr-FR"/>
              </w:rPr>
              <w:t>Logiciels et services internet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72F613D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65633441"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29D8A138" w14:textId="77777777">
            <w:pPr>
              <w:pStyle w:val="Tab1MiddleColGras"/>
              <w:rPr>
                <w:lang w:val="fr-FR"/>
              </w:rPr>
            </w:pPr>
            <w:r>
              <w:rPr>
                <w:lang w:val="fr-FR"/>
              </w:rPr>
              <w:t>645 658,09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6ADA1A1" w14:textId="77777777">
            <w:pPr>
              <w:pStyle w:val="Tab1LastColGras"/>
              <w:rPr>
                <w:lang w:val="fr-FR"/>
              </w:rPr>
            </w:pPr>
            <w:r>
              <w:rPr>
                <w:lang w:val="fr-FR"/>
              </w:rPr>
              <w:t>0,19</w:t>
            </w:r>
          </w:p>
        </w:tc>
      </w:tr>
      <w:tr w14:paraId="162C86D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76B42B22" w14:textId="77777777">
            <w:pPr>
              <w:pStyle w:val="Tab3FirstColNonGras"/>
              <w:rPr>
                <w:lang w:val="de-DE"/>
              </w:rPr>
            </w:pPr>
            <w:r w:rsidRPr="00D61EB0">
              <w:rPr>
                <w:lang w:val="de-DE"/>
              </w:rPr>
              <w:t>CYBER-ARK SOFTWARE LTD/ISRAE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8E7A65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9E47213" w14:textId="77777777">
            <w:pPr>
              <w:pStyle w:val="Tab3MiddleColNonGras"/>
              <w:rPr>
                <w:lang w:val="fr-FR"/>
              </w:rPr>
            </w:pPr>
            <w:r>
              <w:rPr>
                <w:lang w:val="fr-FR"/>
              </w:rPr>
              <w:t>267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BF93E75" w14:textId="77777777">
            <w:pPr>
              <w:pStyle w:val="Tab3MiddleColNonGras"/>
              <w:rPr>
                <w:lang w:val="fr-FR"/>
              </w:rPr>
            </w:pPr>
            <w:r>
              <w:rPr>
                <w:lang w:val="fr-FR"/>
              </w:rPr>
              <w:t>108 636,96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3DDFC80" w14:textId="77777777">
            <w:pPr>
              <w:pStyle w:val="Tab3LastColNonGras"/>
              <w:rPr>
                <w:lang w:val="fr-FR"/>
              </w:rPr>
            </w:pPr>
            <w:r>
              <w:rPr>
                <w:lang w:val="fr-FR"/>
              </w:rPr>
              <w:t>0,03</w:t>
            </w:r>
          </w:p>
        </w:tc>
      </w:tr>
      <w:tr w14:paraId="695018F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53E368E" w14:textId="77777777">
            <w:pPr>
              <w:pStyle w:val="Tab3FirstColNonGras"/>
              <w:rPr>
                <w:lang w:val="fr-FR"/>
              </w:rPr>
            </w:pPr>
            <w:r>
              <w:rPr>
                <w:lang w:val="fr-FR"/>
              </w:rPr>
              <w:t>GODADDY INC - 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EBFCBD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EFCB4CE" w14:textId="77777777">
            <w:pPr>
              <w:pStyle w:val="Tab3MiddleColNonGras"/>
              <w:rPr>
                <w:lang w:val="fr-FR"/>
              </w:rPr>
            </w:pPr>
            <w:r>
              <w:rPr>
                <w:lang w:val="fr-FR"/>
              </w:rPr>
              <w:t>676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FB0FC4E" w14:textId="77777777">
            <w:pPr>
              <w:pStyle w:val="Tab3MiddleColNonGras"/>
              <w:rPr>
                <w:lang w:val="fr-FR"/>
              </w:rPr>
            </w:pPr>
            <w:r>
              <w:rPr>
                <w:lang w:val="fr-FR"/>
              </w:rPr>
              <w:t>121 720,56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3CC2264" w14:textId="77777777">
            <w:pPr>
              <w:pStyle w:val="Tab3LastColNonGras"/>
              <w:rPr>
                <w:lang w:val="fr-FR"/>
              </w:rPr>
            </w:pPr>
            <w:r>
              <w:rPr>
                <w:lang w:val="fr-FR"/>
              </w:rPr>
              <w:t>0,03</w:t>
            </w:r>
          </w:p>
        </w:tc>
      </w:tr>
      <w:tr w14:paraId="378DD07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0D99B62" w14:textId="77777777">
            <w:pPr>
              <w:pStyle w:val="Tab3FirstColNonGras"/>
              <w:rPr>
                <w:lang w:val="fr-FR"/>
              </w:rPr>
            </w:pPr>
            <w:r>
              <w:rPr>
                <w:lang w:val="fr-FR"/>
              </w:rPr>
              <w:t>HUBSPOT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72AE38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367A595" w14:textId="77777777">
            <w:pPr>
              <w:pStyle w:val="Tab3MiddleColNonGras"/>
              <w:rPr>
                <w:lang w:val="fr-FR"/>
              </w:rPr>
            </w:pPr>
            <w:r>
              <w:rPr>
                <w:lang w:val="fr-FR"/>
              </w:rPr>
              <w:t>239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A482290" w14:textId="77777777">
            <w:pPr>
              <w:pStyle w:val="Tab3MiddleColNonGras"/>
              <w:rPr>
                <w:lang w:val="fr-FR"/>
              </w:rPr>
            </w:pPr>
            <w:r>
              <w:rPr>
                <w:lang w:val="fr-FR"/>
              </w:rPr>
              <w:t>133 034,57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C62DB8F" w14:textId="77777777">
            <w:pPr>
              <w:pStyle w:val="Tab3LastColNonGras"/>
              <w:rPr>
                <w:lang w:val="fr-FR"/>
              </w:rPr>
            </w:pPr>
            <w:r>
              <w:rPr>
                <w:lang w:val="fr-FR"/>
              </w:rPr>
              <w:t>0,04</w:t>
            </w:r>
          </w:p>
        </w:tc>
      </w:tr>
      <w:tr w14:paraId="0354150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6845FEB" w14:textId="77777777">
            <w:pPr>
              <w:pStyle w:val="Tab3FirstColNonGras"/>
              <w:rPr>
                <w:lang w:val="fr-FR"/>
              </w:rPr>
            </w:pPr>
            <w:r>
              <w:rPr>
                <w:lang w:val="fr-FR"/>
              </w:rPr>
              <w:t>MONGODB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F6094A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733EC84" w14:textId="77777777">
            <w:pPr>
              <w:pStyle w:val="Tab3MiddleColNonGras"/>
              <w:rPr>
                <w:lang w:val="fr-FR"/>
              </w:rPr>
            </w:pPr>
            <w:r>
              <w:rPr>
                <w:lang w:val="fr-FR"/>
              </w:rPr>
              <w:t>310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E05449F" w14:textId="77777777">
            <w:pPr>
              <w:pStyle w:val="Tab3MiddleColNonGras"/>
              <w:rPr>
                <w:lang w:val="fr-FR"/>
              </w:rPr>
            </w:pPr>
            <w:r>
              <w:rPr>
                <w:lang w:val="fr-FR"/>
              </w:rPr>
              <w:t>65 096,90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B2631DE" w14:textId="77777777">
            <w:pPr>
              <w:pStyle w:val="Tab3LastColNonGras"/>
              <w:rPr>
                <w:lang w:val="fr-FR"/>
              </w:rPr>
            </w:pPr>
            <w:r>
              <w:rPr>
                <w:lang w:val="fr-FR"/>
              </w:rPr>
              <w:t>0,02</w:t>
            </w:r>
          </w:p>
        </w:tc>
      </w:tr>
      <w:tr w14:paraId="3A20BE0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BB66483" w14:textId="77777777">
            <w:pPr>
              <w:pStyle w:val="Tab3FirstColNonGras"/>
              <w:rPr>
                <w:lang w:val="fr-FR"/>
              </w:rPr>
            </w:pPr>
            <w:r>
              <w:rPr>
                <w:lang w:val="fr-FR"/>
              </w:rPr>
              <w:t>PAYCOM SOFTWARE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F3AC25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C3D8E44" w14:textId="77777777">
            <w:pPr>
              <w:pStyle w:val="Tab3MiddleColNonGras"/>
              <w:rPr>
                <w:lang w:val="fr-FR"/>
              </w:rPr>
            </w:pPr>
            <w:r>
              <w:rPr>
                <w:lang w:val="fr-FR"/>
              </w:rPr>
              <w:t>255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087B5AC" w14:textId="77777777">
            <w:pPr>
              <w:pStyle w:val="Tab3MiddleColNonGras"/>
              <w:rPr>
                <w:lang w:val="fr-FR"/>
              </w:rPr>
            </w:pPr>
            <w:r>
              <w:rPr>
                <w:lang w:val="fr-FR"/>
              </w:rPr>
              <w:t>59 007,00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15161C6" w14:textId="77777777">
            <w:pPr>
              <w:pStyle w:val="Tab3LastColNonGras"/>
              <w:rPr>
                <w:lang w:val="fr-FR"/>
              </w:rPr>
            </w:pPr>
            <w:r>
              <w:rPr>
                <w:lang w:val="fr-FR"/>
              </w:rPr>
              <w:t>0,02</w:t>
            </w:r>
          </w:p>
        </w:tc>
      </w:tr>
      <w:tr w14:paraId="5983D3C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527B964" w14:textId="77777777">
            <w:pPr>
              <w:pStyle w:val="Tab3FirstColNonGras"/>
              <w:rPr>
                <w:lang w:val="fr-FR"/>
              </w:rPr>
            </w:pPr>
            <w:r>
              <w:rPr>
                <w:lang w:val="fr-FR"/>
              </w:rPr>
              <w:t>WISETECH GLOBAL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FFFDB70"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59234AD" w14:textId="77777777">
            <w:pPr>
              <w:pStyle w:val="Tab3MiddleColNonGras"/>
              <w:rPr>
                <w:lang w:val="fr-FR"/>
              </w:rPr>
            </w:pPr>
            <w:r>
              <w:rPr>
                <w:lang w:val="fr-FR"/>
              </w:rPr>
              <w:t>914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4FB9448" w14:textId="77777777">
            <w:pPr>
              <w:pStyle w:val="Tab3MiddleColNonGras"/>
              <w:rPr>
                <w:lang w:val="fr-FR"/>
              </w:rPr>
            </w:pPr>
            <w:r>
              <w:rPr>
                <w:lang w:val="fr-FR"/>
              </w:rPr>
              <w:t>65 308,97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2747A47" w14:textId="77777777">
            <w:pPr>
              <w:pStyle w:val="Tab3LastColNonGras"/>
              <w:rPr>
                <w:lang w:val="fr-FR"/>
              </w:rPr>
            </w:pPr>
            <w:r>
              <w:rPr>
                <w:lang w:val="fr-FR"/>
              </w:rPr>
              <w:t>0,02</w:t>
            </w:r>
          </w:p>
        </w:tc>
      </w:tr>
      <w:tr w14:paraId="6B0AF74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15F6469" w14:textId="77777777">
            <w:pPr>
              <w:pStyle w:val="Tab3FirstColNonGras"/>
              <w:rPr>
                <w:lang w:val="fr-FR"/>
              </w:rPr>
            </w:pPr>
            <w:r>
              <w:rPr>
                <w:lang w:val="fr-FR"/>
              </w:rPr>
              <w:t>XERO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39BED0F"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FE214EA" w14:textId="77777777">
            <w:pPr>
              <w:pStyle w:val="Tab3MiddleColNonGras"/>
              <w:rPr>
                <w:lang w:val="fr-FR"/>
              </w:rPr>
            </w:pPr>
            <w:r>
              <w:rPr>
                <w:lang w:val="fr-FR"/>
              </w:rPr>
              <w:t>788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F494541" w14:textId="77777777">
            <w:pPr>
              <w:pStyle w:val="Tab3MiddleColNonGras"/>
              <w:rPr>
                <w:lang w:val="fr-FR"/>
              </w:rPr>
            </w:pPr>
            <w:r>
              <w:rPr>
                <w:lang w:val="fr-FR"/>
              </w:rPr>
              <w:t>92 853,13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8F285FC" w14:textId="77777777">
            <w:pPr>
              <w:pStyle w:val="Tab3LastColNonGras"/>
              <w:rPr>
                <w:lang w:val="fr-FR"/>
              </w:rPr>
            </w:pPr>
            <w:r>
              <w:rPr>
                <w:lang w:val="fr-FR"/>
              </w:rPr>
              <w:t>0,03</w:t>
            </w:r>
          </w:p>
        </w:tc>
      </w:tr>
      <w:tr w14:paraId="7E0325C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EBE2E40" w14:textId="77777777">
            <w:pPr>
              <w:pStyle w:val="Tab1FirstColGras"/>
              <w:rPr>
                <w:lang w:val="fr-FR"/>
              </w:rPr>
            </w:pPr>
            <w:r>
              <w:rPr>
                <w:lang w:val="fr-FR"/>
              </w:rPr>
              <w:t>Machines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010108A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FB66389"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33154953" w14:textId="77777777">
            <w:pPr>
              <w:pStyle w:val="Tab1MiddleColGras"/>
              <w:rPr>
                <w:lang w:val="fr-FR"/>
              </w:rPr>
            </w:pPr>
            <w:r>
              <w:rPr>
                <w:lang w:val="fr-FR"/>
              </w:rPr>
              <w:t>3 149 041,73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2AAD03A" w14:textId="77777777">
            <w:pPr>
              <w:pStyle w:val="Tab1LastColGras"/>
              <w:rPr>
                <w:lang w:val="fr-FR"/>
              </w:rPr>
            </w:pPr>
            <w:r>
              <w:rPr>
                <w:lang w:val="fr-FR"/>
              </w:rPr>
              <w:t>0,90</w:t>
            </w:r>
          </w:p>
        </w:tc>
      </w:tr>
      <w:tr w14:paraId="4CCAFFA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9CE6B89" w14:textId="77777777">
            <w:pPr>
              <w:pStyle w:val="Tab3FirstColNonGras"/>
              <w:rPr>
                <w:lang w:val="fr-FR"/>
              </w:rPr>
            </w:pPr>
            <w:r>
              <w:rPr>
                <w:lang w:val="fr-FR"/>
              </w:rPr>
              <w:t>ADDTECH AB-B SHARES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F0051FE"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A565457" w14:textId="77777777">
            <w:pPr>
              <w:pStyle w:val="Tab3MiddleColNonGras"/>
              <w:rPr>
                <w:lang w:val="fr-FR"/>
              </w:rPr>
            </w:pPr>
            <w:r>
              <w:rPr>
                <w:lang w:val="fr-FR"/>
              </w:rPr>
              <w:t>2 725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CEE69FE" w14:textId="77777777">
            <w:pPr>
              <w:pStyle w:val="Tab3MiddleColNonGras"/>
              <w:rPr>
                <w:lang w:val="fr-FR"/>
              </w:rPr>
            </w:pPr>
            <w:r>
              <w:rPr>
                <w:lang w:val="fr-FR"/>
              </w:rPr>
              <w:t>92 068,62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1650DB0" w14:textId="77777777">
            <w:pPr>
              <w:pStyle w:val="Tab3LastColNonGras"/>
              <w:rPr>
                <w:lang w:val="fr-FR"/>
              </w:rPr>
            </w:pPr>
            <w:r>
              <w:rPr>
                <w:lang w:val="fr-FR"/>
              </w:rPr>
              <w:t>0,03</w:t>
            </w:r>
          </w:p>
        </w:tc>
      </w:tr>
      <w:tr w14:paraId="40A0CB2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22BEF7CC" w14:textId="77777777">
            <w:pPr>
              <w:pStyle w:val="Tab3FirstColNonGras"/>
              <w:rPr>
                <w:lang w:val="en-US"/>
              </w:rPr>
            </w:pPr>
            <w:r w:rsidRPr="00D61EB0">
              <w:rPr>
                <w:lang w:val="en-US"/>
              </w:rPr>
              <w:t>ATLAS COPCO AB-A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3351B30"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760BE40" w14:textId="77777777">
            <w:pPr>
              <w:pStyle w:val="Tab3MiddleColNonGras"/>
              <w:rPr>
                <w:lang w:val="fr-FR"/>
              </w:rPr>
            </w:pPr>
            <w:r>
              <w:rPr>
                <w:lang w:val="fr-FR"/>
              </w:rPr>
              <w:t>28 759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56F97D5" w14:textId="77777777">
            <w:pPr>
              <w:pStyle w:val="Tab3MiddleColNonGras"/>
              <w:rPr>
                <w:lang w:val="fr-FR"/>
              </w:rPr>
            </w:pPr>
            <w:r>
              <w:rPr>
                <w:lang w:val="fr-FR"/>
              </w:rPr>
              <w:t>461 241,62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520A683" w14:textId="77777777">
            <w:pPr>
              <w:pStyle w:val="Tab3LastColNonGras"/>
              <w:rPr>
                <w:lang w:val="fr-FR"/>
              </w:rPr>
            </w:pPr>
            <w:r>
              <w:rPr>
                <w:lang w:val="fr-FR"/>
              </w:rPr>
              <w:t>0,12</w:t>
            </w:r>
          </w:p>
        </w:tc>
      </w:tr>
      <w:tr w14:paraId="7C33578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739E6FA8" w14:textId="77777777">
            <w:pPr>
              <w:pStyle w:val="Tab3FirstColNonGras"/>
              <w:rPr>
                <w:lang w:val="en-US"/>
              </w:rPr>
            </w:pPr>
            <w:r w:rsidRPr="00D61EB0">
              <w:rPr>
                <w:lang w:val="en-US"/>
              </w:rPr>
              <w:t>ATLAS COPCO AB-B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02E6DBB"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0344F6A" w14:textId="77777777">
            <w:pPr>
              <w:pStyle w:val="Tab3MiddleColNonGras"/>
              <w:rPr>
                <w:lang w:val="fr-FR"/>
              </w:rPr>
            </w:pPr>
            <w:r>
              <w:rPr>
                <w:lang w:val="fr-FR"/>
              </w:rPr>
              <w:t>16 712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1D75CFD" w14:textId="77777777">
            <w:pPr>
              <w:pStyle w:val="Tab3MiddleColNonGras"/>
              <w:rPr>
                <w:lang w:val="fr-FR"/>
              </w:rPr>
            </w:pPr>
            <w:r>
              <w:rPr>
                <w:lang w:val="fr-FR"/>
              </w:rPr>
              <w:t>235 764,54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E173AB1" w14:textId="77777777">
            <w:pPr>
              <w:pStyle w:val="Tab3LastColNonGras"/>
              <w:rPr>
                <w:lang w:val="fr-FR"/>
              </w:rPr>
            </w:pPr>
            <w:r>
              <w:rPr>
                <w:lang w:val="fr-FR"/>
              </w:rPr>
              <w:t>0,07</w:t>
            </w:r>
          </w:p>
        </w:tc>
      </w:tr>
      <w:tr w14:paraId="6F24CE4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8B22EA9" w14:textId="77777777">
            <w:pPr>
              <w:pStyle w:val="Tab3FirstColNonGras"/>
              <w:rPr>
                <w:lang w:val="fr-FR"/>
              </w:rPr>
            </w:pPr>
            <w:r>
              <w:rPr>
                <w:lang w:val="fr-FR"/>
              </w:rPr>
              <w:t>DAIFUKU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6B4E807"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5363E32" w14:textId="77777777">
            <w:pPr>
              <w:pStyle w:val="Tab3MiddleColNonGras"/>
              <w:rPr>
                <w:lang w:val="fr-FR"/>
              </w:rPr>
            </w:pPr>
            <w:r>
              <w:rPr>
                <w:lang w:val="fr-FR"/>
              </w:rPr>
              <w:t>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CFCBBFD" w14:textId="77777777">
            <w:pPr>
              <w:pStyle w:val="Tab3MiddleColNonGras"/>
              <w:rPr>
                <w:lang w:val="fr-FR"/>
              </w:rPr>
            </w:pPr>
            <w:r>
              <w:rPr>
                <w:lang w:val="fr-FR"/>
              </w:rPr>
              <w:t>23 190,84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6C498BF" w14:textId="77777777">
            <w:pPr>
              <w:pStyle w:val="Tab3LastColNonGras"/>
              <w:rPr>
                <w:lang w:val="fr-FR"/>
              </w:rPr>
            </w:pPr>
            <w:r>
              <w:rPr>
                <w:lang w:val="fr-FR"/>
              </w:rPr>
              <w:t>0,01</w:t>
            </w:r>
          </w:p>
        </w:tc>
      </w:tr>
      <w:tr w14:paraId="7F501D5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20B1DA3" w14:textId="77777777">
            <w:pPr>
              <w:pStyle w:val="Tab3FirstColNonGras"/>
              <w:rPr>
                <w:lang w:val="fr-FR"/>
              </w:rPr>
            </w:pPr>
            <w:r>
              <w:rPr>
                <w:lang w:val="fr-FR"/>
              </w:rPr>
              <w:t>FANUC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F7CE2F0"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51ADA3E" w14:textId="77777777">
            <w:pPr>
              <w:pStyle w:val="Tab3MiddleColNonGras"/>
              <w:rPr>
                <w:lang w:val="fr-FR"/>
              </w:rPr>
            </w:pPr>
            <w:r>
              <w:rPr>
                <w:lang w:val="fr-FR"/>
              </w:rPr>
              <w:t>8 600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2335A2F" w14:textId="77777777">
            <w:pPr>
              <w:pStyle w:val="Tab3MiddleColNonGras"/>
              <w:rPr>
                <w:lang w:val="fr-FR"/>
              </w:rPr>
            </w:pPr>
            <w:r>
              <w:rPr>
                <w:lang w:val="fr-FR"/>
              </w:rPr>
              <w:t>234 580,65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71798DD" w14:textId="77777777">
            <w:pPr>
              <w:pStyle w:val="Tab3LastColNonGras"/>
              <w:rPr>
                <w:lang w:val="fr-FR"/>
              </w:rPr>
            </w:pPr>
            <w:r>
              <w:rPr>
                <w:lang w:val="fr-FR"/>
              </w:rPr>
              <w:t>0,07</w:t>
            </w:r>
          </w:p>
        </w:tc>
      </w:tr>
      <w:tr w14:paraId="1BAA2BF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F818DC2" w14:textId="77777777">
            <w:pPr>
              <w:pStyle w:val="Tab3FirstColNonGras"/>
              <w:rPr>
                <w:lang w:val="fr-FR"/>
              </w:rPr>
            </w:pPr>
            <w:r>
              <w:rPr>
                <w:lang w:val="fr-FR"/>
              </w:rPr>
              <w:t>FORTIVE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828238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6E76933" w14:textId="77777777">
            <w:pPr>
              <w:pStyle w:val="Tab3MiddleColNonGras"/>
              <w:rPr>
                <w:lang w:val="fr-FR"/>
              </w:rPr>
            </w:pPr>
            <w:r>
              <w:rPr>
                <w:lang w:val="fr-FR"/>
              </w:rPr>
              <w:t>3 997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6BBB918" w14:textId="77777777">
            <w:pPr>
              <w:pStyle w:val="Tab3MiddleColNonGras"/>
              <w:rPr>
                <w:lang w:val="fr-FR"/>
              </w:rPr>
            </w:pPr>
            <w:r>
              <w:rPr>
                <w:lang w:val="fr-FR"/>
              </w:rPr>
              <w:t>208 363,61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AB8B950" w14:textId="77777777">
            <w:pPr>
              <w:pStyle w:val="Tab3LastColNonGras"/>
              <w:rPr>
                <w:lang w:val="fr-FR"/>
              </w:rPr>
            </w:pPr>
            <w:r>
              <w:rPr>
                <w:lang w:val="fr-FR"/>
              </w:rPr>
              <w:t>0,06</w:t>
            </w:r>
          </w:p>
        </w:tc>
      </w:tr>
      <w:tr w14:paraId="5B3466D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A65B750" w14:textId="77777777">
            <w:pPr>
              <w:pStyle w:val="Tab3FirstColNonGras"/>
              <w:rPr>
                <w:lang w:val="fr-FR"/>
              </w:rPr>
            </w:pPr>
            <w:r>
              <w:rPr>
                <w:lang w:val="fr-FR"/>
              </w:rPr>
              <w:t>GRACO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B36595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F0D6FC9" w14:textId="77777777">
            <w:pPr>
              <w:pStyle w:val="Tab3MiddleColNonGras"/>
              <w:rPr>
                <w:lang w:val="fr-FR"/>
              </w:rPr>
            </w:pPr>
            <w:r>
              <w:rPr>
                <w:lang w:val="fr-FR"/>
              </w:rPr>
              <w:t>1 508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186596B" w14:textId="77777777">
            <w:pPr>
              <w:pStyle w:val="Tab3MiddleColNonGras"/>
              <w:rPr>
                <w:lang w:val="fr-FR"/>
              </w:rPr>
            </w:pPr>
            <w:r>
              <w:rPr>
                <w:lang w:val="fr-FR"/>
              </w:rPr>
              <w:t>129 642,76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A215130" w14:textId="77777777">
            <w:pPr>
              <w:pStyle w:val="Tab3LastColNonGras"/>
              <w:rPr>
                <w:lang w:val="fr-FR"/>
              </w:rPr>
            </w:pPr>
            <w:r>
              <w:rPr>
                <w:lang w:val="fr-FR"/>
              </w:rPr>
              <w:t>0,04</w:t>
            </w:r>
          </w:p>
        </w:tc>
      </w:tr>
      <w:tr w14:paraId="2EF2FD3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4594B9A" w14:textId="77777777">
            <w:pPr>
              <w:pStyle w:val="Tab3FirstColNonGras"/>
              <w:rPr>
                <w:lang w:val="fr-FR"/>
              </w:rPr>
            </w:pPr>
            <w:r>
              <w:rPr>
                <w:lang w:val="fr-FR"/>
              </w:rPr>
              <w:t>IDEX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0B6071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23B0DBF" w14:textId="77777777">
            <w:pPr>
              <w:pStyle w:val="Tab3MiddleColNonGras"/>
              <w:rPr>
                <w:lang w:val="fr-FR"/>
              </w:rPr>
            </w:pPr>
            <w:r>
              <w:rPr>
                <w:lang w:val="fr-FR"/>
              </w:rPr>
              <w:t>684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E8B0CC2" w14:textId="77777777">
            <w:pPr>
              <w:pStyle w:val="Tab3MiddleColNonGras"/>
              <w:rPr>
                <w:lang w:val="fr-FR"/>
              </w:rPr>
            </w:pPr>
            <w:r>
              <w:rPr>
                <w:lang w:val="fr-FR"/>
              </w:rPr>
              <w:t>120 089,88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7756D68" w14:textId="77777777">
            <w:pPr>
              <w:pStyle w:val="Tab3LastColNonGras"/>
              <w:rPr>
                <w:lang w:val="fr-FR"/>
              </w:rPr>
            </w:pPr>
            <w:r>
              <w:rPr>
                <w:lang w:val="fr-FR"/>
              </w:rPr>
              <w:t>0,03</w:t>
            </w:r>
          </w:p>
        </w:tc>
      </w:tr>
      <w:tr w14:paraId="52D8F84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AE9A117" w14:textId="77777777">
            <w:pPr>
              <w:pStyle w:val="Tab3FirstColNonGras"/>
              <w:rPr>
                <w:lang w:val="fr-FR"/>
              </w:rPr>
            </w:pPr>
            <w:r>
              <w:rPr>
                <w:lang w:val="fr-FR"/>
              </w:rPr>
              <w:t>INGERSOLL-RAND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FD5D55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965FFE3" w14:textId="77777777">
            <w:pPr>
              <w:pStyle w:val="Tab3MiddleColNonGras"/>
              <w:rPr>
                <w:lang w:val="fr-FR"/>
              </w:rPr>
            </w:pPr>
            <w:r>
              <w:rPr>
                <w:lang w:val="fr-FR"/>
              </w:rPr>
              <w:t>4 416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916716C" w14:textId="77777777">
            <w:pPr>
              <w:pStyle w:val="Tab3MiddleColNonGras"/>
              <w:rPr>
                <w:lang w:val="fr-FR"/>
              </w:rPr>
            </w:pPr>
            <w:r>
              <w:rPr>
                <w:lang w:val="fr-FR"/>
              </w:rPr>
              <w:t>367 322,88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D09FA6E" w14:textId="77777777">
            <w:pPr>
              <w:pStyle w:val="Tab3LastColNonGras"/>
              <w:rPr>
                <w:lang w:val="fr-FR"/>
              </w:rPr>
            </w:pPr>
            <w:r>
              <w:rPr>
                <w:lang w:val="fr-FR"/>
              </w:rPr>
              <w:t>0,11</w:t>
            </w:r>
          </w:p>
        </w:tc>
      </w:tr>
      <w:tr w14:paraId="6B7B995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8BA4723" w14:textId="77777777">
            <w:pPr>
              <w:pStyle w:val="Tab3FirstColNonGras"/>
              <w:rPr>
                <w:lang w:val="fr-FR"/>
              </w:rPr>
            </w:pPr>
            <w:r>
              <w:rPr>
                <w:lang w:val="fr-FR"/>
              </w:rPr>
              <w:t>KONE OYJ-B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D47E72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A7B8A0D" w14:textId="77777777">
            <w:pPr>
              <w:pStyle w:val="Tab3MiddleColNonGras"/>
              <w:rPr>
                <w:lang w:val="fr-FR"/>
              </w:rPr>
            </w:pPr>
            <w:r>
              <w:rPr>
                <w:lang w:val="fr-FR"/>
              </w:rPr>
              <w:t>3 188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06BE81E" w14:textId="77777777">
            <w:pPr>
              <w:pStyle w:val="Tab3MiddleColNonGras"/>
              <w:rPr>
                <w:lang w:val="fr-FR"/>
              </w:rPr>
            </w:pPr>
            <w:r>
              <w:rPr>
                <w:lang w:val="fr-FR"/>
              </w:rPr>
              <w:t>209 116,02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6B4A71B" w14:textId="77777777">
            <w:pPr>
              <w:pStyle w:val="Tab3LastColNonGras"/>
              <w:rPr>
                <w:lang w:val="fr-FR"/>
              </w:rPr>
            </w:pPr>
            <w:r>
              <w:rPr>
                <w:lang w:val="fr-FR"/>
              </w:rPr>
              <w:t>0,06</w:t>
            </w:r>
          </w:p>
        </w:tc>
      </w:tr>
      <w:tr w14:paraId="54A3D92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FB672F9" w14:textId="77777777">
            <w:pPr>
              <w:pStyle w:val="Tab3FirstColNonGras"/>
              <w:rPr>
                <w:lang w:val="fr-FR"/>
              </w:rPr>
            </w:pPr>
            <w:r>
              <w:rPr>
                <w:lang w:val="fr-FR"/>
              </w:rPr>
              <w:t>PANASONIC HOLDINGS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565A8AE"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804D62D" w14:textId="77777777">
            <w:pPr>
              <w:pStyle w:val="Tab3MiddleColNonGras"/>
              <w:rPr>
                <w:lang w:val="fr-FR"/>
              </w:rPr>
            </w:pPr>
            <w:r>
              <w:rPr>
                <w:lang w:val="fr-FR"/>
              </w:rPr>
              <w:t>5 600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C997AAD" w14:textId="77777777">
            <w:pPr>
              <w:pStyle w:val="Tab3MiddleColNonGras"/>
              <w:rPr>
                <w:lang w:val="fr-FR"/>
              </w:rPr>
            </w:pPr>
            <w:r>
              <w:rPr>
                <w:lang w:val="fr-FR"/>
              </w:rPr>
              <w:t>60 305,31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7042247" w14:textId="77777777">
            <w:pPr>
              <w:pStyle w:val="Tab3LastColNonGras"/>
              <w:rPr>
                <w:lang w:val="fr-FR"/>
              </w:rPr>
            </w:pPr>
            <w:r>
              <w:rPr>
                <w:lang w:val="fr-FR"/>
              </w:rPr>
              <w:t>0,02</w:t>
            </w:r>
          </w:p>
        </w:tc>
      </w:tr>
      <w:tr w14:paraId="4BCFBA2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CCDB0F0" w14:textId="77777777">
            <w:pPr>
              <w:pStyle w:val="Tab3FirstColNonGras"/>
              <w:rPr>
                <w:lang w:val="fr-FR"/>
              </w:rPr>
            </w:pPr>
            <w:r>
              <w:rPr>
                <w:lang w:val="fr-FR"/>
              </w:rPr>
              <w:t>PENTAIR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A09BAE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25345D3" w14:textId="77777777">
            <w:pPr>
              <w:pStyle w:val="Tab3MiddleColNonGras"/>
              <w:rPr>
                <w:lang w:val="fr-FR"/>
              </w:rPr>
            </w:pPr>
            <w:r>
              <w:rPr>
                <w:lang w:val="fr-FR"/>
              </w:rPr>
              <w:t>1 388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FAA5B56" w14:textId="77777777">
            <w:pPr>
              <w:pStyle w:val="Tab3MiddleColNonGras"/>
              <w:rPr>
                <w:lang w:val="fr-FR"/>
              </w:rPr>
            </w:pPr>
            <w:r>
              <w:rPr>
                <w:lang w:val="fr-FR"/>
              </w:rPr>
              <w:t>142 492,08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57EC81C" w14:textId="77777777">
            <w:pPr>
              <w:pStyle w:val="Tab3LastColNonGras"/>
              <w:rPr>
                <w:lang w:val="fr-FR"/>
              </w:rPr>
            </w:pPr>
            <w:r>
              <w:rPr>
                <w:lang w:val="fr-FR"/>
              </w:rPr>
              <w:t>0,04</w:t>
            </w:r>
          </w:p>
        </w:tc>
      </w:tr>
      <w:tr w14:paraId="2EDEE97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B255E27" w14:textId="77777777">
            <w:pPr>
              <w:pStyle w:val="Tab3FirstColNonGras"/>
              <w:rPr>
                <w:lang w:val="fr-FR"/>
              </w:rPr>
            </w:pPr>
            <w:r>
              <w:rPr>
                <w:lang w:val="fr-FR"/>
              </w:rPr>
              <w:t>SCHINDLER HOLDING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39A0543"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6C8C85D" w14:textId="77777777">
            <w:pPr>
              <w:pStyle w:val="Tab3MiddleColNonGras"/>
              <w:rPr>
                <w:lang w:val="fr-FR"/>
              </w:rPr>
            </w:pPr>
            <w:r>
              <w:rPr>
                <w:lang w:val="fr-FR"/>
              </w:rPr>
              <w:t>232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FBB5646" w14:textId="77777777">
            <w:pPr>
              <w:pStyle w:val="Tab3MiddleColNonGras"/>
              <w:rPr>
                <w:lang w:val="fr-FR"/>
              </w:rPr>
            </w:pPr>
            <w:r>
              <w:rPr>
                <w:lang w:val="fr-FR"/>
              </w:rPr>
              <w:t>83 797,07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0E9A800" w14:textId="77777777">
            <w:pPr>
              <w:pStyle w:val="Tab3LastColNonGras"/>
              <w:rPr>
                <w:lang w:val="fr-FR"/>
              </w:rPr>
            </w:pPr>
            <w:r>
              <w:rPr>
                <w:lang w:val="fr-FR"/>
              </w:rPr>
              <w:t>0,02</w:t>
            </w:r>
          </w:p>
        </w:tc>
      </w:tr>
      <w:tr w14:paraId="0A0D560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8AFF996" w14:textId="77777777">
            <w:pPr>
              <w:pStyle w:val="Tab3FirstColNonGras"/>
              <w:rPr>
                <w:lang w:val="fr-FR"/>
              </w:rPr>
            </w:pPr>
            <w:r>
              <w:rPr>
                <w:lang w:val="fr-FR"/>
              </w:rPr>
              <w:t>SCHINDLER HOLDING-PART CERT</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206CA87"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994917B" w14:textId="77777777">
            <w:pPr>
              <w:pStyle w:val="Tab3MiddleColNonGras"/>
              <w:rPr>
                <w:lang w:val="fr-FR"/>
              </w:rPr>
            </w:pPr>
            <w:r>
              <w:rPr>
                <w:lang w:val="fr-FR"/>
              </w:rPr>
              <w:t>394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39DFFDE" w14:textId="77777777">
            <w:pPr>
              <w:pStyle w:val="Tab3MiddleColNonGras"/>
              <w:rPr>
                <w:lang w:val="fr-FR"/>
              </w:rPr>
            </w:pPr>
            <w:r>
              <w:rPr>
                <w:lang w:val="fr-FR"/>
              </w:rPr>
              <w:t>146 023,00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F6D9581" w14:textId="77777777">
            <w:pPr>
              <w:pStyle w:val="Tab3LastColNonGras"/>
              <w:rPr>
                <w:lang w:val="fr-FR"/>
              </w:rPr>
            </w:pPr>
            <w:r>
              <w:rPr>
                <w:lang w:val="fr-FR"/>
              </w:rPr>
              <w:t>0,04</w:t>
            </w:r>
          </w:p>
        </w:tc>
      </w:tr>
      <w:tr w14:paraId="33351DC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CA8F333" w14:textId="77777777">
            <w:pPr>
              <w:pStyle w:val="Tab3FirstColNonGras"/>
              <w:rPr>
                <w:lang w:val="fr-FR"/>
              </w:rPr>
            </w:pPr>
            <w:r>
              <w:rPr>
                <w:lang w:val="fr-FR"/>
              </w:rPr>
              <w:t>SIG GROUP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886C405"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51ABB26" w14:textId="77777777">
            <w:pPr>
              <w:pStyle w:val="Tab3MiddleColNonGras"/>
              <w:rPr>
                <w:lang w:val="fr-FR"/>
              </w:rPr>
            </w:pPr>
            <w:r>
              <w:rPr>
                <w:lang w:val="fr-FR"/>
              </w:rPr>
              <w:t>805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D8A77A6" w14:textId="77777777">
            <w:pPr>
              <w:pStyle w:val="Tab3MiddleColNonGras"/>
              <w:rPr>
                <w:lang w:val="fr-FR"/>
              </w:rPr>
            </w:pPr>
            <w:r>
              <w:rPr>
                <w:lang w:val="fr-FR"/>
              </w:rPr>
              <w:t>14 826,30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41CE2CA" w14:textId="77777777">
            <w:pPr>
              <w:pStyle w:val="Tab3LastColNonGras"/>
              <w:rPr>
                <w:lang w:val="fr-FR"/>
              </w:rPr>
            </w:pPr>
            <w:r>
              <w:rPr>
                <w:lang w:val="fr-FR"/>
              </w:rPr>
              <w:t>0,00</w:t>
            </w:r>
          </w:p>
        </w:tc>
      </w:tr>
      <w:tr w14:paraId="76030A3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7C500B7" w14:textId="77777777">
            <w:pPr>
              <w:pStyle w:val="Tab3FirstColNonGras"/>
              <w:rPr>
                <w:lang w:val="fr-FR"/>
              </w:rPr>
            </w:pPr>
            <w:r>
              <w:rPr>
                <w:lang w:val="fr-FR"/>
              </w:rPr>
              <w:t>SMC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BB92BA4"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9CC3781" w14:textId="77777777">
            <w:pPr>
              <w:pStyle w:val="Tab3MiddleColNonGras"/>
              <w:rPr>
                <w:lang w:val="fr-FR"/>
              </w:rPr>
            </w:pPr>
            <w:r>
              <w:rPr>
                <w:lang w:val="fr-FR"/>
              </w:rPr>
              <w:t>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A7A0C54" w14:textId="77777777">
            <w:pPr>
              <w:pStyle w:val="Tab3MiddleColNonGras"/>
              <w:rPr>
                <w:lang w:val="fr-FR"/>
              </w:rPr>
            </w:pPr>
            <w:r>
              <w:rPr>
                <w:lang w:val="fr-FR"/>
              </w:rPr>
              <w:t>216 165,34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737E2C2" w14:textId="77777777">
            <w:pPr>
              <w:pStyle w:val="Tab3LastColNonGras"/>
              <w:rPr>
                <w:lang w:val="fr-FR"/>
              </w:rPr>
            </w:pPr>
            <w:r>
              <w:rPr>
                <w:lang w:val="fr-FR"/>
              </w:rPr>
              <w:t>0,06</w:t>
            </w:r>
          </w:p>
        </w:tc>
      </w:tr>
      <w:tr w14:paraId="7A60E72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DAB9C5F" w14:textId="77777777">
            <w:pPr>
              <w:pStyle w:val="Tab3FirstColNonGras"/>
              <w:rPr>
                <w:lang w:val="fr-FR"/>
              </w:rPr>
            </w:pPr>
            <w:r>
              <w:rPr>
                <w:lang w:val="fr-FR"/>
              </w:rPr>
              <w:t>SPIRAX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B9AD1EF"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D74AD8B" w14:textId="77777777">
            <w:pPr>
              <w:pStyle w:val="Tab3MiddleColNonGras"/>
              <w:rPr>
                <w:lang w:val="fr-FR"/>
              </w:rPr>
            </w:pPr>
            <w:r>
              <w:rPr>
                <w:lang w:val="fr-FR"/>
              </w:rPr>
              <w:t>572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03280BD" w14:textId="77777777">
            <w:pPr>
              <w:pStyle w:val="Tab3MiddleColNonGras"/>
              <w:rPr>
                <w:lang w:val="fr-FR"/>
              </w:rPr>
            </w:pPr>
            <w:r>
              <w:rPr>
                <w:lang w:val="fr-FR"/>
              </w:rPr>
              <w:t>46 678,01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C81CB4B" w14:textId="77777777">
            <w:pPr>
              <w:pStyle w:val="Tab3LastColNonGras"/>
              <w:rPr>
                <w:lang w:val="fr-FR"/>
              </w:rPr>
            </w:pPr>
            <w:r>
              <w:rPr>
                <w:lang w:val="fr-FR"/>
              </w:rPr>
              <w:t>0,01</w:t>
            </w:r>
          </w:p>
        </w:tc>
      </w:tr>
      <w:tr w14:paraId="3DB0F28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2913E2D" w14:textId="77777777">
            <w:pPr>
              <w:pStyle w:val="Tab3FirstColNonGras"/>
              <w:rPr>
                <w:lang w:val="fr-FR"/>
              </w:rPr>
            </w:pPr>
            <w:r>
              <w:rPr>
                <w:lang w:val="fr-FR"/>
              </w:rPr>
              <w:t>TRELLEBORG AB-B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90B315E"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D71C814" w14:textId="77777777">
            <w:pPr>
              <w:pStyle w:val="Tab3MiddleColNonGras"/>
              <w:rPr>
                <w:lang w:val="fr-FR"/>
              </w:rPr>
            </w:pPr>
            <w:r>
              <w:rPr>
                <w:lang w:val="fr-FR"/>
              </w:rPr>
              <w:t>516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1157472" w14:textId="77777777">
            <w:pPr>
              <w:pStyle w:val="Tab3MiddleColNonGras"/>
              <w:rPr>
                <w:lang w:val="fr-FR"/>
              </w:rPr>
            </w:pPr>
            <w:r>
              <w:rPr>
                <w:lang w:val="fr-FR"/>
              </w:rPr>
              <w:t>19 063,60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F20F056" w14:textId="77777777">
            <w:pPr>
              <w:pStyle w:val="Tab3LastColNonGras"/>
              <w:rPr>
                <w:lang w:val="fr-FR"/>
              </w:rPr>
            </w:pPr>
            <w:r>
              <w:rPr>
                <w:lang w:val="fr-FR"/>
              </w:rPr>
              <w:t>0,01</w:t>
            </w:r>
          </w:p>
        </w:tc>
      </w:tr>
      <w:tr w14:paraId="738F0A9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855E6DC" w14:textId="77777777">
            <w:pPr>
              <w:pStyle w:val="Tab3FirstColNonGras"/>
              <w:rPr>
                <w:lang w:val="fr-FR"/>
              </w:rPr>
            </w:pPr>
            <w:r>
              <w:rPr>
                <w:lang w:val="fr-FR"/>
              </w:rPr>
              <w:t>WABTEC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286656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8EC23D1" w14:textId="77777777">
            <w:pPr>
              <w:pStyle w:val="Tab3MiddleColNonGras"/>
              <w:rPr>
                <w:lang w:val="fr-FR"/>
              </w:rPr>
            </w:pPr>
            <w:r>
              <w:rPr>
                <w:lang w:val="fr-FR"/>
              </w:rPr>
              <w:t>1 616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626B9C8" w14:textId="77777777">
            <w:pPr>
              <w:pStyle w:val="Tab3MiddleColNonGras"/>
              <w:rPr>
                <w:lang w:val="fr-FR"/>
              </w:rPr>
            </w:pPr>
            <w:r>
              <w:rPr>
                <w:lang w:val="fr-FR"/>
              </w:rPr>
              <w:t>338 309,60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6B1F19F" w14:textId="77777777">
            <w:pPr>
              <w:pStyle w:val="Tab3LastColNonGras"/>
              <w:rPr>
                <w:lang w:val="fr-FR"/>
              </w:rPr>
            </w:pPr>
            <w:r>
              <w:rPr>
                <w:lang w:val="fr-FR"/>
              </w:rPr>
              <w:t>0,10</w:t>
            </w:r>
          </w:p>
        </w:tc>
      </w:tr>
      <w:tr w14:paraId="561A95C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51956A84" w14:textId="77777777">
            <w:pPr>
              <w:pStyle w:val="Tab1FirstColGras"/>
              <w:rPr>
                <w:lang w:val="fr-FR"/>
              </w:rPr>
            </w:pPr>
            <w:r>
              <w:rPr>
                <w:lang w:val="fr-FR"/>
              </w:rPr>
              <w:t>Marchés de capitaux</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6C241DF2"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09DBE81"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7EA242C9" w14:textId="77777777">
            <w:pPr>
              <w:pStyle w:val="Tab1MiddleColGras"/>
              <w:rPr>
                <w:lang w:val="fr-FR"/>
              </w:rPr>
            </w:pPr>
            <w:r>
              <w:rPr>
                <w:lang w:val="fr-FR"/>
              </w:rPr>
              <w:t>9 860 503,04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1E916C0" w14:textId="77777777">
            <w:pPr>
              <w:pStyle w:val="Tab1LastColGras"/>
              <w:rPr>
                <w:lang w:val="fr-FR"/>
              </w:rPr>
            </w:pPr>
            <w:r>
              <w:rPr>
                <w:lang w:val="fr-FR"/>
              </w:rPr>
              <w:t>2,83</w:t>
            </w:r>
          </w:p>
        </w:tc>
      </w:tr>
      <w:tr w14:paraId="677EEBC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4F188FA" w14:textId="77777777">
            <w:pPr>
              <w:pStyle w:val="Tab3FirstColNonGras"/>
              <w:rPr>
                <w:lang w:val="fr-FR"/>
              </w:rPr>
            </w:pPr>
            <w:r>
              <w:rPr>
                <w:lang w:val="fr-FR"/>
              </w:rPr>
              <w:t>3I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120BECD"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044B276" w14:textId="77777777">
            <w:pPr>
              <w:pStyle w:val="Tab3MiddleColNonGras"/>
              <w:rPr>
                <w:lang w:val="fr-FR"/>
              </w:rPr>
            </w:pPr>
            <w:r>
              <w:rPr>
                <w:lang w:val="fr-FR"/>
              </w:rPr>
              <w:t>11 920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67F399A" w14:textId="77777777">
            <w:pPr>
              <w:pStyle w:val="Tab3MiddleColNonGras"/>
              <w:rPr>
                <w:lang w:val="fr-FR"/>
              </w:rPr>
            </w:pPr>
            <w:r>
              <w:rPr>
                <w:lang w:val="fr-FR"/>
              </w:rPr>
              <w:t>672 989,06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9D18F9B" w14:textId="77777777">
            <w:pPr>
              <w:pStyle w:val="Tab3LastColNonGras"/>
              <w:rPr>
                <w:lang w:val="fr-FR"/>
              </w:rPr>
            </w:pPr>
            <w:r>
              <w:rPr>
                <w:lang w:val="fr-FR"/>
              </w:rPr>
              <w:t>0,19</w:t>
            </w:r>
          </w:p>
        </w:tc>
      </w:tr>
      <w:tr w14:paraId="7F31A29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B28DDAF" w14:textId="77777777">
            <w:pPr>
              <w:pStyle w:val="Tab3FirstColNonGras"/>
              <w:rPr>
                <w:lang w:val="fr-FR"/>
              </w:rPr>
            </w:pPr>
            <w:r>
              <w:rPr>
                <w:lang w:val="fr-FR"/>
              </w:rPr>
              <w:t>ABN AMRO BANK NV-CVA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9CD3D9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1C1B556" w14:textId="77777777">
            <w:pPr>
              <w:pStyle w:val="Tab3MiddleColNonGras"/>
              <w:rPr>
                <w:lang w:val="fr-FR"/>
              </w:rPr>
            </w:pPr>
            <w:r>
              <w:rPr>
                <w:lang w:val="fr-FR"/>
              </w:rPr>
              <w:t>1 059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F565D0A" w14:textId="77777777">
            <w:pPr>
              <w:pStyle w:val="Tab3MiddleColNonGras"/>
              <w:rPr>
                <w:lang w:val="fr-FR"/>
              </w:rPr>
            </w:pPr>
            <w:r>
              <w:rPr>
                <w:lang w:val="fr-FR"/>
              </w:rPr>
              <w:t>28 889,81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F3C1655" w14:textId="77777777">
            <w:pPr>
              <w:pStyle w:val="Tab3LastColNonGras"/>
              <w:rPr>
                <w:lang w:val="fr-FR"/>
              </w:rPr>
            </w:pPr>
            <w:r>
              <w:rPr>
                <w:lang w:val="fr-FR"/>
              </w:rPr>
              <w:t>0,01</w:t>
            </w:r>
          </w:p>
        </w:tc>
      </w:tr>
      <w:tr w14:paraId="3CB7C22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E36F097" w14:textId="77777777">
            <w:pPr>
              <w:pStyle w:val="Tab3FirstColNonGras"/>
              <w:rPr>
                <w:lang w:val="fr-FR"/>
              </w:rPr>
            </w:pPr>
            <w:r>
              <w:rPr>
                <w:lang w:val="fr-FR"/>
              </w:rPr>
              <w:t>AIB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CB8AF3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425B894" w14:textId="77777777">
            <w:pPr>
              <w:pStyle w:val="Tab3MiddleColNonGras"/>
              <w:rPr>
                <w:lang w:val="fr-FR"/>
              </w:rPr>
            </w:pPr>
            <w:r>
              <w:rPr>
                <w:lang w:val="fr-FR"/>
              </w:rPr>
              <w:t>8 471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626CE12" w14:textId="77777777">
            <w:pPr>
              <w:pStyle w:val="Tab3MiddleColNonGras"/>
              <w:rPr>
                <w:lang w:val="fr-FR"/>
              </w:rPr>
            </w:pPr>
            <w:r>
              <w:rPr>
                <w:lang w:val="fr-FR"/>
              </w:rPr>
              <w:t>69 456,63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9BC6D3F" w14:textId="77777777">
            <w:pPr>
              <w:pStyle w:val="Tab3LastColNonGras"/>
              <w:rPr>
                <w:lang w:val="fr-FR"/>
              </w:rPr>
            </w:pPr>
            <w:r>
              <w:rPr>
                <w:lang w:val="fr-FR"/>
              </w:rPr>
              <w:t>0,02</w:t>
            </w:r>
          </w:p>
        </w:tc>
      </w:tr>
      <w:tr w14:paraId="296D706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0A0622D" w14:textId="77777777">
            <w:pPr>
              <w:pStyle w:val="Tab3FirstColNonGras"/>
              <w:rPr>
                <w:lang w:val="fr-FR"/>
              </w:rPr>
            </w:pPr>
            <w:r>
              <w:rPr>
                <w:lang w:val="fr-FR"/>
              </w:rPr>
              <w:t>AMERIPRISE FINANCIAL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3E35CE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46FA378" w14:textId="77777777">
            <w:pPr>
              <w:pStyle w:val="Tab3MiddleColNonGras"/>
              <w:rPr>
                <w:lang w:val="fr-FR"/>
              </w:rPr>
            </w:pPr>
            <w:r>
              <w:rPr>
                <w:lang w:val="fr-FR"/>
              </w:rPr>
              <w:t>536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9DF0A1C" w14:textId="77777777">
            <w:pPr>
              <w:pStyle w:val="Tab3MiddleColNonGras"/>
              <w:rPr>
                <w:lang w:val="fr-FR"/>
              </w:rPr>
            </w:pPr>
            <w:r>
              <w:rPr>
                <w:lang w:val="fr-FR"/>
              </w:rPr>
              <w:t>286 079,28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C93B401" w14:textId="77777777">
            <w:pPr>
              <w:pStyle w:val="Tab3LastColNonGras"/>
              <w:rPr>
                <w:lang w:val="fr-FR"/>
              </w:rPr>
            </w:pPr>
            <w:r>
              <w:rPr>
                <w:lang w:val="fr-FR"/>
              </w:rPr>
              <w:t>0,08</w:t>
            </w:r>
          </w:p>
        </w:tc>
      </w:tr>
      <w:tr w14:paraId="76266A7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67E7B7B" w14:textId="77777777">
            <w:pPr>
              <w:pStyle w:val="Tab3FirstColNonGras"/>
              <w:rPr>
                <w:lang w:val="fr-FR"/>
              </w:rPr>
            </w:pPr>
            <w:r>
              <w:rPr>
                <w:lang w:val="fr-FR"/>
              </w:rPr>
              <w:t>ARES MANAGEMENT CORP -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D5409E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C0BE1AB" w14:textId="77777777">
            <w:pPr>
              <w:pStyle w:val="Tab3MiddleColNonGras"/>
              <w:rPr>
                <w:lang w:val="fr-FR"/>
              </w:rPr>
            </w:pPr>
            <w:r>
              <w:rPr>
                <w:lang w:val="fr-FR"/>
              </w:rPr>
              <w:t>993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EDD2A4C" w14:textId="77777777">
            <w:pPr>
              <w:pStyle w:val="Tab3MiddleColNonGras"/>
              <w:rPr>
                <w:lang w:val="fr-FR"/>
              </w:rPr>
            </w:pPr>
            <w:r>
              <w:rPr>
                <w:lang w:val="fr-FR"/>
              </w:rPr>
              <w:t>171 987,60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5AC82E4" w14:textId="77777777">
            <w:pPr>
              <w:pStyle w:val="Tab3LastColNonGras"/>
              <w:rPr>
                <w:lang w:val="fr-FR"/>
              </w:rPr>
            </w:pPr>
            <w:r>
              <w:rPr>
                <w:lang w:val="fr-FR"/>
              </w:rPr>
              <w:t>0,05</w:t>
            </w:r>
          </w:p>
        </w:tc>
      </w:tr>
      <w:tr w14:paraId="40E9DC7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AD08C23" w14:textId="77777777">
            <w:pPr>
              <w:pStyle w:val="Tab3FirstColNonGras"/>
              <w:rPr>
                <w:lang w:val="fr-FR"/>
              </w:rPr>
            </w:pPr>
            <w:r>
              <w:rPr>
                <w:lang w:val="fr-FR"/>
              </w:rPr>
              <w:t>ASX LIMITED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D9CFA3F"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A39336E" w14:textId="77777777">
            <w:pPr>
              <w:pStyle w:val="Tab3MiddleColNonGras"/>
              <w:rPr>
                <w:lang w:val="fr-FR"/>
              </w:rPr>
            </w:pPr>
            <w:r>
              <w:rPr>
                <w:lang w:val="fr-FR"/>
              </w:rPr>
              <w:t>1 303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F76D635" w14:textId="77777777">
            <w:pPr>
              <w:pStyle w:val="Tab3MiddleColNonGras"/>
              <w:rPr>
                <w:lang w:val="fr-FR"/>
              </w:rPr>
            </w:pPr>
            <w:r>
              <w:rPr>
                <w:lang w:val="fr-FR"/>
              </w:rPr>
              <w:t>59 570,54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D048186" w14:textId="77777777">
            <w:pPr>
              <w:pStyle w:val="Tab3LastColNonGras"/>
              <w:rPr>
                <w:lang w:val="fr-FR"/>
              </w:rPr>
            </w:pPr>
            <w:r>
              <w:rPr>
                <w:lang w:val="fr-FR"/>
              </w:rPr>
              <w:t>0,02</w:t>
            </w:r>
          </w:p>
        </w:tc>
      </w:tr>
      <w:tr w14:paraId="586E9B2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6BB21C2" w14:textId="77777777">
            <w:pPr>
              <w:pStyle w:val="Tab3FirstColNonGras"/>
              <w:rPr>
                <w:lang w:val="fr-FR"/>
              </w:rPr>
            </w:pPr>
            <w:r>
              <w:rPr>
                <w:lang w:val="fr-FR"/>
              </w:rPr>
              <w:t>BANCO SANTANDER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40B049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5BBEB06" w14:textId="77777777">
            <w:pPr>
              <w:pStyle w:val="Tab3MiddleColNonGras"/>
              <w:rPr>
                <w:lang w:val="fr-FR"/>
              </w:rPr>
            </w:pPr>
            <w:r>
              <w:rPr>
                <w:lang w:val="fr-FR"/>
              </w:rPr>
              <w:t>70 635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5341AAD" w14:textId="77777777">
            <w:pPr>
              <w:pStyle w:val="Tab3MiddleColNonGras"/>
              <w:rPr>
                <w:lang w:val="fr-FR"/>
              </w:rPr>
            </w:pPr>
            <w:r>
              <w:rPr>
                <w:lang w:val="fr-FR"/>
              </w:rPr>
              <w:t>582 642,97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AF01BFE" w14:textId="77777777">
            <w:pPr>
              <w:pStyle w:val="Tab3LastColNonGras"/>
              <w:rPr>
                <w:lang w:val="fr-FR"/>
              </w:rPr>
            </w:pPr>
            <w:r>
              <w:rPr>
                <w:lang w:val="fr-FR"/>
              </w:rPr>
              <w:t>0,17</w:t>
            </w:r>
          </w:p>
        </w:tc>
      </w:tr>
      <w:tr w14:paraId="3CAF6E7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64292F0" w14:textId="77777777">
            <w:pPr>
              <w:pStyle w:val="Tab3FirstColNonGras"/>
              <w:rPr>
                <w:lang w:val="fr-FR"/>
              </w:rPr>
            </w:pPr>
            <w:r>
              <w:rPr>
                <w:lang w:val="fr-FR"/>
              </w:rPr>
              <w:t>BANK OF MONTREAL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30BD960"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89F300F" w14:textId="77777777">
            <w:pPr>
              <w:pStyle w:val="Tab3MiddleColNonGras"/>
              <w:rPr>
                <w:lang w:val="fr-FR"/>
              </w:rPr>
            </w:pPr>
            <w:r>
              <w:rPr>
                <w:lang w:val="fr-FR"/>
              </w:rPr>
              <w:t>3 234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E0396C6" w14:textId="77777777">
            <w:pPr>
              <w:pStyle w:val="Tab3MiddleColNonGras"/>
              <w:rPr>
                <w:lang w:val="fr-FR"/>
              </w:rPr>
            </w:pPr>
            <w:r>
              <w:rPr>
                <w:lang w:val="fr-FR"/>
              </w:rPr>
              <w:t>357 664,56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ABC1647" w14:textId="77777777">
            <w:pPr>
              <w:pStyle w:val="Tab3LastColNonGras"/>
              <w:rPr>
                <w:lang w:val="fr-FR"/>
              </w:rPr>
            </w:pPr>
            <w:r>
              <w:rPr>
                <w:lang w:val="fr-FR"/>
              </w:rPr>
              <w:t>0,10</w:t>
            </w:r>
          </w:p>
        </w:tc>
      </w:tr>
      <w:tr w14:paraId="624F9FE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312CDE49" w14:textId="77777777">
            <w:pPr>
              <w:pStyle w:val="Tab3FirstColNonGras"/>
              <w:rPr>
                <w:lang w:val="en-US"/>
              </w:rPr>
            </w:pPr>
            <w:r w:rsidRPr="00D61EB0">
              <w:rPr>
                <w:lang w:val="en-US"/>
              </w:rPr>
              <w:t>BK OF NOVA SCOTIA  COM NPV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1586C51"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8401213" w14:textId="77777777">
            <w:pPr>
              <w:pStyle w:val="Tab3MiddleColNonGras"/>
              <w:rPr>
                <w:lang w:val="fr-FR"/>
              </w:rPr>
            </w:pPr>
            <w:r>
              <w:rPr>
                <w:lang w:val="fr-FR"/>
              </w:rPr>
              <w:t>5 238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D025B04" w14:textId="77777777">
            <w:pPr>
              <w:pStyle w:val="Tab3MiddleColNonGras"/>
              <w:rPr>
                <w:lang w:val="fr-FR"/>
              </w:rPr>
            </w:pPr>
            <w:r>
              <w:rPr>
                <w:lang w:val="fr-FR"/>
              </w:rPr>
              <w:t>289 053,57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E6A6272" w14:textId="77777777">
            <w:pPr>
              <w:pStyle w:val="Tab3LastColNonGras"/>
              <w:rPr>
                <w:lang w:val="fr-FR"/>
              </w:rPr>
            </w:pPr>
            <w:r>
              <w:rPr>
                <w:lang w:val="fr-FR"/>
              </w:rPr>
              <w:t>0,08</w:t>
            </w:r>
          </w:p>
        </w:tc>
      </w:tr>
      <w:tr w14:paraId="35CE668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3B56D3B" w14:textId="77777777">
            <w:pPr>
              <w:pStyle w:val="Tab3FirstColNonGras"/>
              <w:rPr>
                <w:lang w:val="fr-FR"/>
              </w:rPr>
            </w:pPr>
            <w:r>
              <w:rPr>
                <w:lang w:val="fr-FR"/>
              </w:rPr>
              <w:t>BLACKROCK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22C38E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58F4F1A" w14:textId="77777777">
            <w:pPr>
              <w:pStyle w:val="Tab3MiddleColNonGras"/>
              <w:rPr>
                <w:lang w:val="fr-FR"/>
              </w:rPr>
            </w:pPr>
            <w:r>
              <w:rPr>
                <w:lang w:val="fr-FR"/>
              </w:rPr>
              <w:t>755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5DA9535" w14:textId="77777777">
            <w:pPr>
              <w:pStyle w:val="Tab3MiddleColNonGras"/>
              <w:rPr>
                <w:lang w:val="fr-FR"/>
              </w:rPr>
            </w:pPr>
            <w:r>
              <w:rPr>
                <w:lang w:val="fr-FR"/>
              </w:rPr>
              <w:t>792 183,75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D9AC6ED" w14:textId="77777777">
            <w:pPr>
              <w:pStyle w:val="Tab3LastColNonGras"/>
              <w:rPr>
                <w:lang w:val="fr-FR"/>
              </w:rPr>
            </w:pPr>
            <w:r>
              <w:rPr>
                <w:lang w:val="fr-FR"/>
              </w:rPr>
              <w:t>0,23</w:t>
            </w:r>
          </w:p>
        </w:tc>
      </w:tr>
      <w:tr w14:paraId="7CEE6F5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A407A19" w14:textId="77777777">
            <w:pPr>
              <w:pStyle w:val="Tab3FirstColNonGras"/>
              <w:rPr>
                <w:lang w:val="fr-FR"/>
              </w:rPr>
            </w:pPr>
            <w:r>
              <w:rPr>
                <w:lang w:val="fr-FR"/>
              </w:rPr>
              <w:t>BLACKSTONE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698F33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4B8430D" w14:textId="77777777">
            <w:pPr>
              <w:pStyle w:val="Tab3MiddleColNonGras"/>
              <w:rPr>
                <w:lang w:val="fr-FR"/>
              </w:rPr>
            </w:pPr>
            <w:r>
              <w:rPr>
                <w:lang w:val="fr-FR"/>
              </w:rPr>
              <w:t>3 715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BF12609" w14:textId="77777777">
            <w:pPr>
              <w:pStyle w:val="Tab3MiddleColNonGras"/>
              <w:rPr>
                <w:lang w:val="fr-FR"/>
              </w:rPr>
            </w:pPr>
            <w:r>
              <w:rPr>
                <w:lang w:val="fr-FR"/>
              </w:rPr>
              <w:t>555 689,70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D4CF8B8" w14:textId="77777777">
            <w:pPr>
              <w:pStyle w:val="Tab3LastColNonGras"/>
              <w:rPr>
                <w:lang w:val="fr-FR"/>
              </w:rPr>
            </w:pPr>
            <w:r>
              <w:rPr>
                <w:lang w:val="fr-FR"/>
              </w:rPr>
              <w:t>0,16</w:t>
            </w:r>
          </w:p>
        </w:tc>
      </w:tr>
      <w:tr w14:paraId="0E5E2FC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231C41A" w14:textId="77777777">
            <w:pPr>
              <w:pStyle w:val="Tab3FirstColNonGras"/>
              <w:rPr>
                <w:lang w:val="fr-FR"/>
              </w:rPr>
            </w:pPr>
            <w:r>
              <w:rPr>
                <w:lang w:val="fr-FR"/>
              </w:rPr>
              <w:t>BROOKFIELD ASSET MGMT-A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A3D0A84"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2C9211B" w14:textId="77777777">
            <w:pPr>
              <w:pStyle w:val="Tab3MiddleColNonGras"/>
              <w:rPr>
                <w:lang w:val="fr-FR"/>
              </w:rPr>
            </w:pPr>
            <w:r>
              <w:rPr>
                <w:lang w:val="fr-FR"/>
              </w:rPr>
              <w:t>2 104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907B04B" w14:textId="77777777">
            <w:pPr>
              <w:pStyle w:val="Tab3MiddleColNonGras"/>
              <w:rPr>
                <w:lang w:val="fr-FR"/>
              </w:rPr>
            </w:pPr>
            <w:r>
              <w:rPr>
                <w:lang w:val="fr-FR"/>
              </w:rPr>
              <w:t>116 214,98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70322E3" w14:textId="77777777">
            <w:pPr>
              <w:pStyle w:val="Tab3LastColNonGras"/>
              <w:rPr>
                <w:lang w:val="fr-FR"/>
              </w:rPr>
            </w:pPr>
            <w:r>
              <w:rPr>
                <w:lang w:val="fr-FR"/>
              </w:rPr>
              <w:t>0,03</w:t>
            </w:r>
          </w:p>
        </w:tc>
      </w:tr>
      <w:tr w14:paraId="3A0E564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E5B28C0" w14:textId="77777777">
            <w:pPr>
              <w:pStyle w:val="Tab3FirstColNonGras"/>
              <w:rPr>
                <w:lang w:val="fr-FR"/>
              </w:rPr>
            </w:pPr>
            <w:r>
              <w:rPr>
                <w:lang w:val="fr-FR"/>
              </w:rPr>
              <w:t>CITIGROUP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A37309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24F8E02" w14:textId="77777777">
            <w:pPr>
              <w:pStyle w:val="Tab3MiddleColNonGras"/>
              <w:rPr>
                <w:lang w:val="fr-FR"/>
              </w:rPr>
            </w:pPr>
            <w:r>
              <w:rPr>
                <w:lang w:val="fr-FR"/>
              </w:rPr>
              <w:t>9 748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107C050" w14:textId="77777777">
            <w:pPr>
              <w:pStyle w:val="Tab3MiddleColNonGras"/>
              <w:rPr>
                <w:lang w:val="fr-FR"/>
              </w:rPr>
            </w:pPr>
            <w:r>
              <w:rPr>
                <w:lang w:val="fr-FR"/>
              </w:rPr>
              <w:t>829 749,76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16991E2" w14:textId="77777777">
            <w:pPr>
              <w:pStyle w:val="Tab3LastColNonGras"/>
              <w:rPr>
                <w:lang w:val="fr-FR"/>
              </w:rPr>
            </w:pPr>
            <w:r>
              <w:rPr>
                <w:lang w:val="fr-FR"/>
              </w:rPr>
              <w:t>0,24</w:t>
            </w:r>
          </w:p>
        </w:tc>
      </w:tr>
    </w:tbl>
    <w:p w:rsidR="001F4AEE" w14:paraId="530FDC92" w14:textId="77777777">
      <w:pPr>
        <w:sectPr>
          <w:headerReference w:type="default" r:id="rId44"/>
          <w:footerReference w:type="default" r:id="rId45"/>
          <w:pgSz w:w="11900" w:h="16840"/>
          <w:pgMar w:top="2154" w:right="1134" w:bottom="1134" w:left="1134" w:header="400" w:footer="400" w:gutter="0"/>
          <w:cols w:space="720"/>
        </w:sectPr>
      </w:pPr>
    </w:p>
    <w:p w:rsidR="001F4AEE" w14:paraId="228DA887" w14:textId="77777777">
      <w:pPr>
        <w:spacing w:line="30" w:lineRule="exact"/>
        <w:rPr>
          <w:sz w:val="3"/>
        </w:rPr>
      </w:pPr>
    </w:p>
    <w:p w:rsidR="001F4AEE" w14:paraId="2F871491" w14:textId="77777777">
      <w:pPr>
        <w:pStyle w:val="TechnicalBookmark"/>
        <w:rPr>
          <w:lang w:val="fr-FR"/>
        </w:rPr>
      </w:pPr>
      <w:r>
        <w:rPr>
          <w:lang w:val="fr-FR"/>
        </w:rPr>
        <w:fldChar w:fldCharType="begin"/>
      </w:r>
      <w:r>
        <w:rPr>
          <w:lang w:val="fr-FR"/>
        </w:rPr>
        <w:instrText xml:space="preserve"> SET 49FC8458761F7CD5244A757C682B76DD "" </w:instrText>
      </w:r>
      <w:r>
        <w:rPr>
          <w:lang w:val="fr-FR"/>
        </w:rPr>
        <w:fldChar w:fldCharType="separate"/>
      </w:r>
      <w:bookmarkStart w:id="100" w:name="49FC8458761F7CD5244A757C682B76DD"/>
      <w:bookmarkEnd w:id="100"/>
      <w:r>
        <w:rPr>
          <w:lang w:val="fr-FR"/>
        </w:rPr>
        <w:fldChar w:fldCharType="end"/>
      </w:r>
    </w:p>
    <w:p w:rsidR="001F4AEE" w14:paraId="6C2CCA20" w14:textId="77777777">
      <w:pPr>
        <w:pStyle w:val="H2"/>
        <w:rPr>
          <w:lang w:val="fr-FR"/>
        </w:rPr>
      </w:pPr>
      <w:r>
        <w:rPr>
          <w:lang w:val="fr-FR"/>
        </w:rPr>
        <w:t xml:space="preserve">Inventaire des éléments de bilan </w:t>
      </w:r>
    </w:p>
    <w:p w:rsidR="001F4AEE" w14:paraId="0D532A75" w14:textId="77777777">
      <w:pPr>
        <w:pStyle w:val="NoRefToc"/>
        <w:rPr>
          <w:lang w:val="fr-FR"/>
        </w:rPr>
      </w:pPr>
    </w:p>
    <w:p w:rsidR="001F4AEE" w14:paraId="4A9095A8" w14:textId="77777777">
      <w:pPr>
        <w:pStyle w:val="TechnicalBookmark"/>
        <w:rPr>
          <w:lang w:val="fr-FR"/>
        </w:rPr>
      </w:pPr>
      <w:r>
        <w:rPr>
          <w:lang w:val="fr-FR"/>
        </w:rPr>
        <w:fldChar w:fldCharType="begin"/>
      </w:r>
      <w:r>
        <w:rPr>
          <w:lang w:val="fr-FR"/>
        </w:rPr>
        <w:instrText xml:space="preserve"> SET E77B297AE6639529AA7458831335B58F "" </w:instrText>
      </w:r>
      <w:r>
        <w:rPr>
          <w:lang w:val="fr-FR"/>
        </w:rPr>
        <w:fldChar w:fldCharType="separate"/>
      </w:r>
      <w:bookmarkStart w:id="101" w:name="E77B297AE6639529AA7458831335B58F"/>
      <w:bookmarkEnd w:id="101"/>
      <w:r>
        <w:rPr>
          <w:lang w:val="fr-FR"/>
        </w:rPr>
        <w:fldChar w:fldCharType="end"/>
      </w:r>
    </w:p>
    <w:p w:rsidR="001F4AEE" w14:paraId="27CA2EFE"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6DD24676"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12797B67"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97FC993"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1664FE39" w14:textId="77777777">
            <w:pPr>
              <w:pStyle w:val="EnteteTabMiddleColBordure"/>
              <w:spacing w:line="184" w:lineRule="exact"/>
              <w:rPr>
                <w:lang w:val="fr-FR"/>
              </w:rPr>
            </w:pPr>
            <w:r>
              <w:rPr>
                <w:lang w:val="fr-FR"/>
              </w:rPr>
              <w:t>Quantité ou</w:t>
            </w:r>
          </w:p>
          <w:p w:rsidR="001F4AEE" w14:paraId="3B7980D0"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3F4F7691"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66846BB2" w14:textId="77777777">
            <w:pPr>
              <w:pStyle w:val="EnteteTabLastColBordure"/>
              <w:spacing w:line="184" w:lineRule="exact"/>
              <w:rPr>
                <w:lang w:val="fr-FR"/>
              </w:rPr>
            </w:pPr>
            <w:r>
              <w:rPr>
                <w:lang w:val="fr-FR"/>
              </w:rPr>
              <w:t>% Actif</w:t>
            </w:r>
          </w:p>
          <w:p w:rsidR="001F4AEE" w14:paraId="01246F66" w14:textId="77777777">
            <w:pPr>
              <w:pStyle w:val="EnteteTabLastColBordure"/>
              <w:spacing w:line="184" w:lineRule="exact"/>
              <w:rPr>
                <w:lang w:val="fr-FR"/>
              </w:rPr>
            </w:pPr>
            <w:r>
              <w:rPr>
                <w:lang w:val="fr-FR"/>
              </w:rPr>
              <w:t>Net</w:t>
            </w:r>
          </w:p>
        </w:tc>
      </w:tr>
      <w:tr w14:paraId="4E36E00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36E615BB" w14:textId="77777777">
            <w:pPr>
              <w:pStyle w:val="Tab3FirstColNonGras"/>
              <w:rPr>
                <w:lang w:val="en-US"/>
              </w:rPr>
            </w:pPr>
            <w:r w:rsidRPr="00D61EB0">
              <w:rPr>
                <w:lang w:val="en-US"/>
              </w:rPr>
              <w:t>COINBASE GLOBAL INC -CLASS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3DC658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92EACAE" w14:textId="77777777">
            <w:pPr>
              <w:pStyle w:val="Tab3MiddleColNonGras"/>
              <w:rPr>
                <w:lang w:val="fr-FR"/>
              </w:rPr>
            </w:pPr>
            <w:r>
              <w:rPr>
                <w:lang w:val="fr-FR"/>
              </w:rPr>
              <w:t>1 048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EA34621" w14:textId="77777777">
            <w:pPr>
              <w:pStyle w:val="Tab3MiddleColNonGras"/>
              <w:rPr>
                <w:lang w:val="fr-FR"/>
              </w:rPr>
            </w:pPr>
            <w:r>
              <w:rPr>
                <w:lang w:val="fr-FR"/>
              </w:rPr>
              <w:t>367 313,52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8C665A9" w14:textId="77777777">
            <w:pPr>
              <w:pStyle w:val="Tab3LastColNonGras"/>
              <w:rPr>
                <w:lang w:val="fr-FR"/>
              </w:rPr>
            </w:pPr>
            <w:r>
              <w:rPr>
                <w:lang w:val="fr-FR"/>
              </w:rPr>
              <w:t>0,11</w:t>
            </w:r>
          </w:p>
        </w:tc>
      </w:tr>
      <w:tr w14:paraId="32DD7FD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A3D725E" w14:textId="77777777">
            <w:pPr>
              <w:pStyle w:val="Tab3FirstColNonGras"/>
              <w:rPr>
                <w:lang w:val="fr-FR"/>
              </w:rPr>
            </w:pPr>
            <w:r>
              <w:rPr>
                <w:lang w:val="fr-FR"/>
              </w:rPr>
              <w:t>DAIWA SECURITIES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259435D"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579F7A4" w14:textId="77777777">
            <w:pPr>
              <w:pStyle w:val="Tab3MiddleColNonGras"/>
              <w:rPr>
                <w:lang w:val="fr-FR"/>
              </w:rPr>
            </w:pPr>
            <w:r>
              <w:rPr>
                <w:lang w:val="fr-FR"/>
              </w:rPr>
              <w:t>6 400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31E128A" w14:textId="77777777">
            <w:pPr>
              <w:pStyle w:val="Tab3MiddleColNonGras"/>
              <w:rPr>
                <w:lang w:val="fr-FR"/>
              </w:rPr>
            </w:pPr>
            <w:r>
              <w:rPr>
                <w:lang w:val="fr-FR"/>
              </w:rPr>
              <w:t>45 393,06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3BA084F" w14:textId="77777777">
            <w:pPr>
              <w:pStyle w:val="Tab3LastColNonGras"/>
              <w:rPr>
                <w:lang w:val="fr-FR"/>
              </w:rPr>
            </w:pPr>
            <w:r>
              <w:rPr>
                <w:lang w:val="fr-FR"/>
              </w:rPr>
              <w:t>0,01</w:t>
            </w:r>
          </w:p>
        </w:tc>
      </w:tr>
      <w:tr w14:paraId="41A5AAF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67D227B" w14:textId="77777777">
            <w:pPr>
              <w:pStyle w:val="Tab3FirstColNonGras"/>
              <w:rPr>
                <w:lang w:val="fr-FR"/>
              </w:rPr>
            </w:pPr>
            <w:r>
              <w:rPr>
                <w:lang w:val="fr-FR"/>
              </w:rPr>
              <w:t>EQT AB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9A0B34F"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50BA375" w14:textId="77777777">
            <w:pPr>
              <w:pStyle w:val="Tab3MiddleColNonGras"/>
              <w:rPr>
                <w:lang w:val="fr-FR"/>
              </w:rPr>
            </w:pPr>
            <w:r>
              <w:rPr>
                <w:lang w:val="fr-FR"/>
              </w:rPr>
              <w:t>3 069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A8A9D78" w14:textId="77777777">
            <w:pPr>
              <w:pStyle w:val="Tab3MiddleColNonGras"/>
              <w:rPr>
                <w:lang w:val="fr-FR"/>
              </w:rPr>
            </w:pPr>
            <w:r>
              <w:rPr>
                <w:lang w:val="fr-FR"/>
              </w:rPr>
              <w:t>101 726,89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2C7AF88" w14:textId="77777777">
            <w:pPr>
              <w:pStyle w:val="Tab3LastColNonGras"/>
              <w:rPr>
                <w:lang w:val="fr-FR"/>
              </w:rPr>
            </w:pPr>
            <w:r>
              <w:rPr>
                <w:lang w:val="fr-FR"/>
              </w:rPr>
              <w:t>0,03</w:t>
            </w:r>
          </w:p>
        </w:tc>
      </w:tr>
      <w:tr w14:paraId="2A79363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B9C357A" w14:textId="77777777">
            <w:pPr>
              <w:pStyle w:val="Tab3FirstColNonGras"/>
              <w:rPr>
                <w:lang w:val="fr-FR"/>
              </w:rPr>
            </w:pPr>
            <w:r>
              <w:rPr>
                <w:lang w:val="fr-FR"/>
              </w:rPr>
              <w:t>EQUITABLE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2BC43D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B8363A1" w14:textId="77777777">
            <w:pPr>
              <w:pStyle w:val="Tab3MiddleColNonGras"/>
              <w:rPr>
                <w:lang w:val="fr-FR"/>
              </w:rPr>
            </w:pPr>
            <w:r>
              <w:rPr>
                <w:lang w:val="fr-FR"/>
              </w:rPr>
              <w:t>1 257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A91C6C5" w14:textId="77777777">
            <w:pPr>
              <w:pStyle w:val="Tab3MiddleColNonGras"/>
              <w:rPr>
                <w:lang w:val="fr-FR"/>
              </w:rPr>
            </w:pPr>
            <w:r>
              <w:rPr>
                <w:lang w:val="fr-FR"/>
              </w:rPr>
              <w:t>70 517,70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58355A3" w14:textId="77777777">
            <w:pPr>
              <w:pStyle w:val="Tab3LastColNonGras"/>
              <w:rPr>
                <w:lang w:val="fr-FR"/>
              </w:rPr>
            </w:pPr>
            <w:r>
              <w:rPr>
                <w:lang w:val="fr-FR"/>
              </w:rPr>
              <w:t>0,02</w:t>
            </w:r>
          </w:p>
        </w:tc>
      </w:tr>
      <w:tr w14:paraId="17CB2EC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721BA52" w14:textId="77777777">
            <w:pPr>
              <w:pStyle w:val="Tab3FirstColNonGras"/>
              <w:rPr>
                <w:lang w:val="fr-FR"/>
              </w:rPr>
            </w:pPr>
            <w:r>
              <w:rPr>
                <w:lang w:val="fr-FR"/>
              </w:rPr>
              <w:t>FINECOBANK SPA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3F58334"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CB72A32" w14:textId="77777777">
            <w:pPr>
              <w:pStyle w:val="Tab3MiddleColNonGras"/>
              <w:rPr>
                <w:lang w:val="fr-FR"/>
              </w:rPr>
            </w:pPr>
            <w:r>
              <w:rPr>
                <w:lang w:val="fr-FR"/>
              </w:rPr>
              <w:t>4 113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9DAA4DE" w14:textId="77777777">
            <w:pPr>
              <w:pStyle w:val="Tab3MiddleColNonGras"/>
              <w:rPr>
                <w:lang w:val="fr-FR"/>
              </w:rPr>
            </w:pPr>
            <w:r>
              <w:rPr>
                <w:lang w:val="fr-FR"/>
              </w:rPr>
              <w:t>90 936,23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3F3B748" w14:textId="77777777">
            <w:pPr>
              <w:pStyle w:val="Tab3LastColNonGras"/>
              <w:rPr>
                <w:lang w:val="fr-FR"/>
              </w:rPr>
            </w:pPr>
            <w:r>
              <w:rPr>
                <w:lang w:val="fr-FR"/>
              </w:rPr>
              <w:t>0,03</w:t>
            </w:r>
          </w:p>
        </w:tc>
      </w:tr>
      <w:tr w14:paraId="36B409A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8CF7305" w14:textId="77777777">
            <w:pPr>
              <w:pStyle w:val="Tab3FirstColNonGras"/>
              <w:rPr>
                <w:lang w:val="fr-FR"/>
              </w:rPr>
            </w:pPr>
            <w:r>
              <w:rPr>
                <w:lang w:val="fr-FR"/>
              </w:rPr>
              <w:t>GOLDMAN SACHS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97C6D0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56F295E" w14:textId="77777777">
            <w:pPr>
              <w:pStyle w:val="Tab3MiddleColNonGras"/>
              <w:rPr>
                <w:lang w:val="fr-FR"/>
              </w:rPr>
            </w:pPr>
            <w:r>
              <w:rPr>
                <w:lang w:val="fr-FR"/>
              </w:rPr>
              <w:t>1 566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492B8D2" w14:textId="77777777">
            <w:pPr>
              <w:pStyle w:val="Tab3MiddleColNonGras"/>
              <w:rPr>
                <w:lang w:val="fr-FR"/>
              </w:rPr>
            </w:pPr>
            <w:r>
              <w:rPr>
                <w:lang w:val="fr-FR"/>
              </w:rPr>
              <w:t>1 108 336,50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BC8F036" w14:textId="77777777">
            <w:pPr>
              <w:pStyle w:val="Tab3LastColNonGras"/>
              <w:rPr>
                <w:lang w:val="fr-FR"/>
              </w:rPr>
            </w:pPr>
            <w:r>
              <w:rPr>
                <w:lang w:val="fr-FR"/>
              </w:rPr>
              <w:t>0,32</w:t>
            </w:r>
          </w:p>
        </w:tc>
      </w:tr>
      <w:tr w14:paraId="189BAB8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3E2404D" w14:textId="77777777">
            <w:pPr>
              <w:pStyle w:val="Tab3FirstColNonGras"/>
              <w:rPr>
                <w:lang w:val="fr-FR"/>
              </w:rPr>
            </w:pPr>
            <w:r>
              <w:rPr>
                <w:lang w:val="fr-FR"/>
              </w:rPr>
              <w:t>IGM FINANCIAL 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9C9A983"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878AA69" w14:textId="77777777">
            <w:pPr>
              <w:pStyle w:val="Tab3MiddleColNonGras"/>
              <w:rPr>
                <w:lang w:val="fr-FR"/>
              </w:rPr>
            </w:pPr>
            <w:r>
              <w:rPr>
                <w:lang w:val="fr-FR"/>
              </w:rPr>
              <w:t>268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82E2AE0" w14:textId="77777777">
            <w:pPr>
              <w:pStyle w:val="Tab3MiddleColNonGras"/>
              <w:rPr>
                <w:lang w:val="fr-FR"/>
              </w:rPr>
            </w:pPr>
            <w:r>
              <w:rPr>
                <w:lang w:val="fr-FR"/>
              </w:rPr>
              <w:t>8 449,35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E2FBE13" w14:textId="77777777">
            <w:pPr>
              <w:pStyle w:val="Tab3LastColNonGras"/>
              <w:rPr>
                <w:lang w:val="fr-FR"/>
              </w:rPr>
            </w:pPr>
            <w:r>
              <w:rPr>
                <w:lang w:val="fr-FR"/>
              </w:rPr>
              <w:t>0,00</w:t>
            </w:r>
          </w:p>
        </w:tc>
      </w:tr>
      <w:tr w14:paraId="5D94579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7113975" w14:textId="77777777">
            <w:pPr>
              <w:pStyle w:val="Tab3FirstColNonGras"/>
              <w:rPr>
                <w:lang w:val="fr-FR"/>
              </w:rPr>
            </w:pPr>
            <w:r>
              <w:rPr>
                <w:lang w:val="fr-FR"/>
              </w:rPr>
              <w:t>INPOST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AD6134C"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1AF239F" w14:textId="77777777">
            <w:pPr>
              <w:pStyle w:val="Tab3MiddleColNonGras"/>
              <w:rPr>
                <w:lang w:val="fr-FR"/>
              </w:rPr>
            </w:pPr>
            <w:r>
              <w:rPr>
                <w:lang w:val="fr-FR"/>
              </w:rPr>
              <w:t>2 200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6F682E0" w14:textId="77777777">
            <w:pPr>
              <w:pStyle w:val="Tab3MiddleColNonGras"/>
              <w:rPr>
                <w:lang w:val="fr-FR"/>
              </w:rPr>
            </w:pPr>
            <w:r>
              <w:rPr>
                <w:lang w:val="fr-FR"/>
              </w:rPr>
              <w:t>36 412,83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A078560" w14:textId="77777777">
            <w:pPr>
              <w:pStyle w:val="Tab3LastColNonGras"/>
              <w:rPr>
                <w:lang w:val="fr-FR"/>
              </w:rPr>
            </w:pPr>
            <w:r>
              <w:rPr>
                <w:lang w:val="fr-FR"/>
              </w:rPr>
              <w:t>0,01</w:t>
            </w:r>
          </w:p>
        </w:tc>
      </w:tr>
      <w:tr w14:paraId="56069F9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EF21487" w14:textId="77777777">
            <w:pPr>
              <w:pStyle w:val="Tab3FirstColNonGras"/>
              <w:rPr>
                <w:lang w:val="fr-FR"/>
              </w:rPr>
            </w:pPr>
            <w:r>
              <w:rPr>
                <w:lang w:val="fr-FR"/>
              </w:rPr>
              <w:t>JULIUS BAER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80A4780"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D65C5C7" w14:textId="77777777">
            <w:pPr>
              <w:pStyle w:val="Tab3MiddleColNonGras"/>
              <w:rPr>
                <w:lang w:val="fr-FR"/>
              </w:rPr>
            </w:pPr>
            <w:r>
              <w:rPr>
                <w:lang w:val="fr-FR"/>
              </w:rPr>
              <w:t>679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46139AF" w14:textId="77777777">
            <w:pPr>
              <w:pStyle w:val="Tab3MiddleColNonGras"/>
              <w:rPr>
                <w:lang w:val="fr-FR"/>
              </w:rPr>
            </w:pPr>
            <w:r>
              <w:rPr>
                <w:lang w:val="fr-FR"/>
              </w:rPr>
              <w:t>45 757,42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0EED8F9" w14:textId="77777777">
            <w:pPr>
              <w:pStyle w:val="Tab3LastColNonGras"/>
              <w:rPr>
                <w:lang w:val="fr-FR"/>
              </w:rPr>
            </w:pPr>
            <w:r>
              <w:rPr>
                <w:lang w:val="fr-FR"/>
              </w:rPr>
              <w:t>0,01</w:t>
            </w:r>
          </w:p>
        </w:tc>
      </w:tr>
      <w:tr w14:paraId="08E79C1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72593F0" w14:textId="77777777">
            <w:pPr>
              <w:pStyle w:val="Tab3FirstColNonGras"/>
              <w:rPr>
                <w:lang w:val="fr-FR"/>
              </w:rPr>
            </w:pPr>
            <w:r>
              <w:rPr>
                <w:lang w:val="fr-FR"/>
              </w:rPr>
              <w:t>LPL FINANCIAL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7A9327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1027FCA" w14:textId="77777777">
            <w:pPr>
              <w:pStyle w:val="Tab3MiddleColNonGras"/>
              <w:rPr>
                <w:lang w:val="fr-FR"/>
              </w:rPr>
            </w:pPr>
            <w:r>
              <w:rPr>
                <w:lang w:val="fr-FR"/>
              </w:rPr>
              <w:t>419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7ED1976" w14:textId="77777777">
            <w:pPr>
              <w:pStyle w:val="Tab3MiddleColNonGras"/>
              <w:rPr>
                <w:lang w:val="fr-FR"/>
              </w:rPr>
            </w:pPr>
            <w:r>
              <w:rPr>
                <w:lang w:val="fr-FR"/>
              </w:rPr>
              <w:t>157 112,43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DF69CBB" w14:textId="77777777">
            <w:pPr>
              <w:pStyle w:val="Tab3LastColNonGras"/>
              <w:rPr>
                <w:lang w:val="fr-FR"/>
              </w:rPr>
            </w:pPr>
            <w:r>
              <w:rPr>
                <w:lang w:val="fr-FR"/>
              </w:rPr>
              <w:t>0,05</w:t>
            </w:r>
          </w:p>
        </w:tc>
      </w:tr>
      <w:tr w14:paraId="618A304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85CA069" w14:textId="77777777">
            <w:pPr>
              <w:pStyle w:val="Tab3FirstColNonGras"/>
              <w:rPr>
                <w:lang w:val="fr-FR"/>
              </w:rPr>
            </w:pPr>
            <w:r>
              <w:rPr>
                <w:lang w:val="fr-FR"/>
              </w:rPr>
              <w:t>M&amp;G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482A580"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313F2AC" w14:textId="77777777">
            <w:pPr>
              <w:pStyle w:val="Tab3MiddleColNonGras"/>
              <w:rPr>
                <w:lang w:val="fr-FR"/>
              </w:rPr>
            </w:pPr>
            <w:r>
              <w:rPr>
                <w:lang w:val="fr-FR"/>
              </w:rPr>
              <w:t>10 639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F517BCA" w14:textId="77777777">
            <w:pPr>
              <w:pStyle w:val="Tab3MiddleColNonGras"/>
              <w:rPr>
                <w:lang w:val="fr-FR"/>
              </w:rPr>
            </w:pPr>
            <w:r>
              <w:rPr>
                <w:lang w:val="fr-FR"/>
              </w:rPr>
              <w:t>37 468,69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406BCEB" w14:textId="77777777">
            <w:pPr>
              <w:pStyle w:val="Tab3LastColNonGras"/>
              <w:rPr>
                <w:lang w:val="fr-FR"/>
              </w:rPr>
            </w:pPr>
            <w:r>
              <w:rPr>
                <w:lang w:val="fr-FR"/>
              </w:rPr>
              <w:t>0,01</w:t>
            </w:r>
          </w:p>
        </w:tc>
      </w:tr>
      <w:tr w14:paraId="1A8085B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D69FFE3" w14:textId="77777777">
            <w:pPr>
              <w:pStyle w:val="Tab3FirstColNonGras"/>
              <w:rPr>
                <w:lang w:val="fr-FR"/>
              </w:rPr>
            </w:pPr>
            <w:r>
              <w:rPr>
                <w:lang w:val="fr-FR"/>
              </w:rPr>
              <w:t>MEDIOBANCA SPA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68A6BE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75943FE" w14:textId="77777777">
            <w:pPr>
              <w:pStyle w:val="Tab3MiddleColNonGras"/>
              <w:rPr>
                <w:lang w:val="fr-FR"/>
              </w:rPr>
            </w:pPr>
            <w:r>
              <w:rPr>
                <w:lang w:val="fr-FR"/>
              </w:rPr>
              <w:t>2 723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6925C63" w14:textId="77777777">
            <w:pPr>
              <w:pStyle w:val="Tab3MiddleColNonGras"/>
              <w:rPr>
                <w:lang w:val="fr-FR"/>
              </w:rPr>
            </w:pPr>
            <w:r>
              <w:rPr>
                <w:lang w:val="fr-FR"/>
              </w:rPr>
              <w:t>63 080,83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7EF1836" w14:textId="77777777">
            <w:pPr>
              <w:pStyle w:val="Tab3LastColNonGras"/>
              <w:rPr>
                <w:lang w:val="fr-FR"/>
              </w:rPr>
            </w:pPr>
            <w:r>
              <w:rPr>
                <w:lang w:val="fr-FR"/>
              </w:rPr>
              <w:t>0,02</w:t>
            </w:r>
          </w:p>
        </w:tc>
      </w:tr>
      <w:tr w14:paraId="3C319AF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F969CDD" w14:textId="77777777">
            <w:pPr>
              <w:pStyle w:val="Tab3FirstColNonGras"/>
              <w:rPr>
                <w:lang w:val="fr-FR"/>
              </w:rPr>
            </w:pPr>
            <w:r>
              <w:rPr>
                <w:lang w:val="fr-FR"/>
              </w:rPr>
              <w:t>MORGAN STANLEY</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00CACE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151822A" w14:textId="77777777">
            <w:pPr>
              <w:pStyle w:val="Tab3MiddleColNonGras"/>
              <w:rPr>
                <w:lang w:val="fr-FR"/>
              </w:rPr>
            </w:pPr>
            <w:r>
              <w:rPr>
                <w:lang w:val="fr-FR"/>
              </w:rPr>
              <w:t>5 945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EFB6F36" w14:textId="77777777">
            <w:pPr>
              <w:pStyle w:val="Tab3MiddleColNonGras"/>
              <w:rPr>
                <w:lang w:val="fr-FR"/>
              </w:rPr>
            </w:pPr>
            <w:r>
              <w:rPr>
                <w:lang w:val="fr-FR"/>
              </w:rPr>
              <w:t>837 412,70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EE617F2" w14:textId="77777777">
            <w:pPr>
              <w:pStyle w:val="Tab3LastColNonGras"/>
              <w:rPr>
                <w:lang w:val="fr-FR"/>
              </w:rPr>
            </w:pPr>
            <w:r>
              <w:rPr>
                <w:lang w:val="fr-FR"/>
              </w:rPr>
              <w:t>0,24</w:t>
            </w:r>
          </w:p>
        </w:tc>
      </w:tr>
      <w:tr w14:paraId="7F14A9A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613FAAF" w14:textId="77777777">
            <w:pPr>
              <w:pStyle w:val="Tab3FirstColNonGras"/>
              <w:rPr>
                <w:lang w:val="fr-FR"/>
              </w:rPr>
            </w:pPr>
            <w:r>
              <w:rPr>
                <w:lang w:val="fr-FR"/>
              </w:rPr>
              <w:t>NATIONAL BANK OF CANADA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784E171"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FC98C09" w14:textId="77777777">
            <w:pPr>
              <w:pStyle w:val="Tab3MiddleColNonGras"/>
              <w:rPr>
                <w:lang w:val="fr-FR"/>
              </w:rPr>
            </w:pPr>
            <w:r>
              <w:rPr>
                <w:lang w:val="fr-FR"/>
              </w:rPr>
              <w:t>2 045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20E02E6" w14:textId="77777777">
            <w:pPr>
              <w:pStyle w:val="Tab3MiddleColNonGras"/>
              <w:rPr>
                <w:lang w:val="fr-FR"/>
              </w:rPr>
            </w:pPr>
            <w:r>
              <w:rPr>
                <w:lang w:val="fr-FR"/>
              </w:rPr>
              <w:t>210 595,62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E91EBED" w14:textId="77777777">
            <w:pPr>
              <w:pStyle w:val="Tab3LastColNonGras"/>
              <w:rPr>
                <w:lang w:val="fr-FR"/>
              </w:rPr>
            </w:pPr>
            <w:r>
              <w:rPr>
                <w:lang w:val="fr-FR"/>
              </w:rPr>
              <w:t>0,06</w:t>
            </w:r>
          </w:p>
        </w:tc>
      </w:tr>
      <w:tr w14:paraId="4DD86B5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6BE5618" w14:textId="77777777">
            <w:pPr>
              <w:pStyle w:val="Tab3FirstColNonGras"/>
              <w:rPr>
                <w:lang w:val="fr-FR"/>
              </w:rPr>
            </w:pPr>
            <w:r>
              <w:rPr>
                <w:lang w:val="fr-FR"/>
              </w:rPr>
              <w:t>NOMURA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EF9C77C"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F66C80C" w14:textId="77777777">
            <w:pPr>
              <w:pStyle w:val="Tab3MiddleColNonGras"/>
              <w:rPr>
                <w:lang w:val="fr-FR"/>
              </w:rPr>
            </w:pPr>
            <w:r>
              <w:rPr>
                <w:lang w:val="fr-FR"/>
              </w:rPr>
              <w:t>14 900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51552B2" w14:textId="77777777">
            <w:pPr>
              <w:pStyle w:val="Tab3MiddleColNonGras"/>
              <w:rPr>
                <w:lang w:val="fr-FR"/>
              </w:rPr>
            </w:pPr>
            <w:r>
              <w:rPr>
                <w:lang w:val="fr-FR"/>
              </w:rPr>
              <w:t>98 202,09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E124470" w14:textId="77777777">
            <w:pPr>
              <w:pStyle w:val="Tab3LastColNonGras"/>
              <w:rPr>
                <w:lang w:val="fr-FR"/>
              </w:rPr>
            </w:pPr>
            <w:r>
              <w:rPr>
                <w:lang w:val="fr-FR"/>
              </w:rPr>
              <w:t>0,03</w:t>
            </w:r>
          </w:p>
        </w:tc>
      </w:tr>
      <w:tr w14:paraId="43C415B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29B66D7" w14:textId="77777777">
            <w:pPr>
              <w:pStyle w:val="Tab3FirstColNonGras"/>
              <w:rPr>
                <w:lang w:val="fr-FR"/>
              </w:rPr>
            </w:pPr>
            <w:r>
              <w:rPr>
                <w:lang w:val="fr-FR"/>
              </w:rPr>
              <w:t>NORTHERN TRUST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EC5055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76AE681" w14:textId="77777777">
            <w:pPr>
              <w:pStyle w:val="Tab3MiddleColNonGras"/>
              <w:rPr>
                <w:lang w:val="fr-FR"/>
              </w:rPr>
            </w:pPr>
            <w:r>
              <w:rPr>
                <w:lang w:val="fr-FR"/>
              </w:rPr>
              <w:t>1 026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B198BB3" w14:textId="77777777">
            <w:pPr>
              <w:pStyle w:val="Tab3MiddleColNonGras"/>
              <w:rPr>
                <w:lang w:val="fr-FR"/>
              </w:rPr>
            </w:pPr>
            <w:r>
              <w:rPr>
                <w:lang w:val="fr-FR"/>
              </w:rPr>
              <w:t>130 086,54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E112BA5" w14:textId="77777777">
            <w:pPr>
              <w:pStyle w:val="Tab3LastColNonGras"/>
              <w:rPr>
                <w:lang w:val="fr-FR"/>
              </w:rPr>
            </w:pPr>
            <w:r>
              <w:rPr>
                <w:lang w:val="fr-FR"/>
              </w:rPr>
              <w:t>0,04</w:t>
            </w:r>
          </w:p>
        </w:tc>
      </w:tr>
      <w:tr w14:paraId="69B341D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481A681" w14:textId="77777777">
            <w:pPr>
              <w:pStyle w:val="Tab3FirstColNonGras"/>
              <w:rPr>
                <w:lang w:val="fr-FR"/>
              </w:rPr>
            </w:pPr>
            <w:r>
              <w:rPr>
                <w:lang w:val="fr-FR"/>
              </w:rPr>
              <w:t>PARTNERS GROUP HOLDING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CDD9655"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BDCEAD6" w14:textId="77777777">
            <w:pPr>
              <w:pStyle w:val="Tab3MiddleColNonGras"/>
              <w:rPr>
                <w:lang w:val="fr-FR"/>
              </w:rPr>
            </w:pPr>
            <w:r>
              <w:rPr>
                <w:lang w:val="fr-FR"/>
              </w:rPr>
              <w:t>272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529D0CF" w14:textId="77777777">
            <w:pPr>
              <w:pStyle w:val="Tab3MiddleColNonGras"/>
              <w:rPr>
                <w:lang w:val="fr-FR"/>
              </w:rPr>
            </w:pPr>
            <w:r>
              <w:rPr>
                <w:lang w:val="fr-FR"/>
              </w:rPr>
              <w:t>353 681,44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03C7076" w14:textId="77777777">
            <w:pPr>
              <w:pStyle w:val="Tab3LastColNonGras"/>
              <w:rPr>
                <w:lang w:val="fr-FR"/>
              </w:rPr>
            </w:pPr>
            <w:r>
              <w:rPr>
                <w:lang w:val="fr-FR"/>
              </w:rPr>
              <w:t>0,10</w:t>
            </w:r>
          </w:p>
        </w:tc>
      </w:tr>
      <w:tr w14:paraId="765334C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CF1F9A7" w14:textId="77777777">
            <w:pPr>
              <w:pStyle w:val="Tab3FirstColNonGras"/>
              <w:rPr>
                <w:lang w:val="fr-FR"/>
              </w:rPr>
            </w:pPr>
            <w:r>
              <w:rPr>
                <w:lang w:val="fr-FR"/>
              </w:rPr>
              <w:t>PHOENIX GROUP HOLDINGS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A032AA7"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687F7E0" w14:textId="77777777">
            <w:pPr>
              <w:pStyle w:val="Tab3MiddleColNonGras"/>
              <w:rPr>
                <w:lang w:val="fr-FR"/>
              </w:rPr>
            </w:pPr>
            <w:r>
              <w:rPr>
                <w:lang w:val="fr-FR"/>
              </w:rPr>
              <w:t>5 620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93D107D" w14:textId="77777777">
            <w:pPr>
              <w:pStyle w:val="Tab3MiddleColNonGras"/>
              <w:rPr>
                <w:lang w:val="fr-FR"/>
              </w:rPr>
            </w:pPr>
            <w:r>
              <w:rPr>
                <w:lang w:val="fr-FR"/>
              </w:rPr>
              <w:t>50 713,86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6AE4328" w14:textId="77777777">
            <w:pPr>
              <w:pStyle w:val="Tab3LastColNonGras"/>
              <w:rPr>
                <w:lang w:val="fr-FR"/>
              </w:rPr>
            </w:pPr>
            <w:r>
              <w:rPr>
                <w:lang w:val="fr-FR"/>
              </w:rPr>
              <w:t>0,01</w:t>
            </w:r>
          </w:p>
        </w:tc>
      </w:tr>
      <w:tr w14:paraId="4F2EE2A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11C17DF" w14:textId="77777777">
            <w:pPr>
              <w:pStyle w:val="Tab3FirstColNonGras"/>
              <w:rPr>
                <w:lang w:val="fr-FR"/>
              </w:rPr>
            </w:pPr>
            <w:r>
              <w:rPr>
                <w:lang w:val="fr-FR"/>
              </w:rPr>
              <w:t>SBI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DCCA9BD"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F98AEE0" w14:textId="77777777">
            <w:pPr>
              <w:pStyle w:val="Tab3MiddleColNonGras"/>
              <w:rPr>
                <w:lang w:val="fr-FR"/>
              </w:rPr>
            </w:pPr>
            <w:r>
              <w:rPr>
                <w:lang w:val="fr-FR"/>
              </w:rPr>
              <w:t>1 100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F797A79" w14:textId="77777777">
            <w:pPr>
              <w:pStyle w:val="Tab3MiddleColNonGras"/>
              <w:rPr>
                <w:lang w:val="fr-FR"/>
              </w:rPr>
            </w:pPr>
            <w:r>
              <w:rPr>
                <w:lang w:val="fr-FR"/>
              </w:rPr>
              <w:t>38 305,24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25C6F84" w14:textId="77777777">
            <w:pPr>
              <w:pStyle w:val="Tab3LastColNonGras"/>
              <w:rPr>
                <w:lang w:val="fr-FR"/>
              </w:rPr>
            </w:pPr>
            <w:r>
              <w:rPr>
                <w:lang w:val="fr-FR"/>
              </w:rPr>
              <w:t>0,01</w:t>
            </w:r>
          </w:p>
        </w:tc>
      </w:tr>
      <w:tr w14:paraId="26273AB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4BA40B7" w14:textId="77777777">
            <w:pPr>
              <w:pStyle w:val="Tab3FirstColNonGras"/>
              <w:rPr>
                <w:lang w:val="fr-FR"/>
              </w:rPr>
            </w:pPr>
            <w:r>
              <w:rPr>
                <w:lang w:val="fr-FR"/>
              </w:rPr>
              <w:t>SCHRODERS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85185B9"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A83CA7F" w14:textId="77777777">
            <w:pPr>
              <w:pStyle w:val="Tab3MiddleColNonGras"/>
              <w:rPr>
                <w:lang w:val="fr-FR"/>
              </w:rPr>
            </w:pPr>
            <w:r>
              <w:rPr>
                <w:lang w:val="fr-FR"/>
              </w:rPr>
              <w:t>1 135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CFC3E21" w14:textId="77777777">
            <w:pPr>
              <w:pStyle w:val="Tab3MiddleColNonGras"/>
              <w:rPr>
                <w:lang w:val="fr-FR"/>
              </w:rPr>
            </w:pPr>
            <w:r>
              <w:rPr>
                <w:lang w:val="fr-FR"/>
              </w:rPr>
              <w:t>5 621,06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3E86995" w14:textId="77777777">
            <w:pPr>
              <w:pStyle w:val="Tab3LastColNonGras"/>
              <w:rPr>
                <w:lang w:val="fr-FR"/>
              </w:rPr>
            </w:pPr>
            <w:r>
              <w:rPr>
                <w:lang w:val="fr-FR"/>
              </w:rPr>
              <w:t>0,00</w:t>
            </w:r>
          </w:p>
        </w:tc>
      </w:tr>
      <w:tr w14:paraId="4F61AC8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A036FAB" w14:textId="77777777">
            <w:pPr>
              <w:pStyle w:val="Tab3FirstColNonGras"/>
              <w:rPr>
                <w:lang w:val="fr-FR"/>
              </w:rPr>
            </w:pPr>
            <w:r>
              <w:rPr>
                <w:lang w:val="fr-FR"/>
              </w:rPr>
              <w:t>SCHWAB (CHARLES)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0DFC50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39618C0" w14:textId="77777777">
            <w:pPr>
              <w:pStyle w:val="Tab3MiddleColNonGras"/>
              <w:rPr>
                <w:lang w:val="fr-FR"/>
              </w:rPr>
            </w:pPr>
            <w:r>
              <w:rPr>
                <w:lang w:val="fr-FR"/>
              </w:rPr>
              <w:t>8 736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0403F9D" w14:textId="77777777">
            <w:pPr>
              <w:pStyle w:val="Tab3MiddleColNonGras"/>
              <w:rPr>
                <w:lang w:val="fr-FR"/>
              </w:rPr>
            </w:pPr>
            <w:r>
              <w:rPr>
                <w:lang w:val="fr-FR"/>
              </w:rPr>
              <w:t>797 072,64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BD5426A" w14:textId="77777777">
            <w:pPr>
              <w:pStyle w:val="Tab3LastColNonGras"/>
              <w:rPr>
                <w:lang w:val="fr-FR"/>
              </w:rPr>
            </w:pPr>
            <w:r>
              <w:rPr>
                <w:lang w:val="fr-FR"/>
              </w:rPr>
              <w:t>0,23</w:t>
            </w:r>
          </w:p>
        </w:tc>
      </w:tr>
      <w:tr w14:paraId="03BD7E9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124B6F1" w14:textId="77777777">
            <w:pPr>
              <w:pStyle w:val="Tab3FirstColNonGras"/>
              <w:rPr>
                <w:lang w:val="fr-FR"/>
              </w:rPr>
            </w:pPr>
            <w:r>
              <w:rPr>
                <w:lang w:val="fr-FR"/>
              </w:rPr>
              <w:t>STATE STREET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88B3E1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0D948EE" w14:textId="77777777">
            <w:pPr>
              <w:pStyle w:val="Tab3MiddleColNonGras"/>
              <w:rPr>
                <w:lang w:val="fr-FR"/>
              </w:rPr>
            </w:pPr>
            <w:r>
              <w:rPr>
                <w:lang w:val="fr-FR"/>
              </w:rPr>
              <w:t>1 622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ACF86C3" w14:textId="77777777">
            <w:pPr>
              <w:pStyle w:val="Tab3MiddleColNonGras"/>
              <w:rPr>
                <w:lang w:val="fr-FR"/>
              </w:rPr>
            </w:pPr>
            <w:r>
              <w:rPr>
                <w:lang w:val="fr-FR"/>
              </w:rPr>
              <w:t>172 483,48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671B86F" w14:textId="77777777">
            <w:pPr>
              <w:pStyle w:val="Tab3LastColNonGras"/>
              <w:rPr>
                <w:lang w:val="fr-FR"/>
              </w:rPr>
            </w:pPr>
            <w:r>
              <w:rPr>
                <w:lang w:val="fr-FR"/>
              </w:rPr>
              <w:t>0,05</w:t>
            </w:r>
          </w:p>
        </w:tc>
      </w:tr>
      <w:tr w14:paraId="1122B94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17AF07B5" w14:textId="77777777">
            <w:pPr>
              <w:pStyle w:val="Tab3FirstColNonGras"/>
              <w:rPr>
                <w:lang w:val="en-US"/>
              </w:rPr>
            </w:pPr>
            <w:r w:rsidRPr="00D61EB0">
              <w:rPr>
                <w:lang w:val="en-US"/>
              </w:rPr>
              <w:t>TRADEWEB MARKETS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0C766D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CC1603B" w14:textId="77777777">
            <w:pPr>
              <w:pStyle w:val="Tab3MiddleColNonGras"/>
              <w:rPr>
                <w:lang w:val="fr-FR"/>
              </w:rPr>
            </w:pPr>
            <w:r>
              <w:rPr>
                <w:lang w:val="fr-FR"/>
              </w:rPr>
              <w:t>446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195A9A0" w14:textId="77777777">
            <w:pPr>
              <w:pStyle w:val="Tab3MiddleColNonGras"/>
              <w:rPr>
                <w:lang w:val="fr-FR"/>
              </w:rPr>
            </w:pPr>
            <w:r>
              <w:rPr>
                <w:lang w:val="fr-FR"/>
              </w:rPr>
              <w:t>65 294,40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5993211" w14:textId="77777777">
            <w:pPr>
              <w:pStyle w:val="Tab3LastColNonGras"/>
              <w:rPr>
                <w:lang w:val="fr-FR"/>
              </w:rPr>
            </w:pPr>
            <w:r>
              <w:rPr>
                <w:lang w:val="fr-FR"/>
              </w:rPr>
              <w:t>0,02</w:t>
            </w:r>
          </w:p>
        </w:tc>
      </w:tr>
      <w:tr w14:paraId="705913F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7C2B9403" w14:textId="77777777">
            <w:pPr>
              <w:pStyle w:val="Tab3FirstColNonGras"/>
              <w:rPr>
                <w:lang w:val="en-US"/>
              </w:rPr>
            </w:pPr>
            <w:r w:rsidRPr="00D61EB0">
              <w:rPr>
                <w:lang w:val="en-US"/>
              </w:rPr>
              <w:t>T ROWE PRICE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EDA3D8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5769F56" w14:textId="77777777">
            <w:pPr>
              <w:pStyle w:val="Tab3MiddleColNonGras"/>
              <w:rPr>
                <w:lang w:val="fr-FR"/>
              </w:rPr>
            </w:pPr>
            <w:r>
              <w:rPr>
                <w:lang w:val="fr-FR"/>
              </w:rPr>
              <w:t>1 127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2CB6A6E" w14:textId="77777777">
            <w:pPr>
              <w:pStyle w:val="Tab3MiddleColNonGras"/>
              <w:rPr>
                <w:lang w:val="fr-FR"/>
              </w:rPr>
            </w:pPr>
            <w:r>
              <w:rPr>
                <w:lang w:val="fr-FR"/>
              </w:rPr>
              <w:t>108 755,50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0BEBCAD" w14:textId="77777777">
            <w:pPr>
              <w:pStyle w:val="Tab3LastColNonGras"/>
              <w:rPr>
                <w:lang w:val="fr-FR"/>
              </w:rPr>
            </w:pPr>
            <w:r>
              <w:rPr>
                <w:lang w:val="fr-FR"/>
              </w:rPr>
              <w:t>0,03</w:t>
            </w:r>
          </w:p>
        </w:tc>
      </w:tr>
      <w:tr w14:paraId="2F98EDB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45F996A" w14:textId="77777777">
            <w:pPr>
              <w:pStyle w:val="Tab3FirstColNonGras"/>
              <w:rPr>
                <w:lang w:val="fr-FR"/>
              </w:rPr>
            </w:pPr>
            <w:r>
              <w:rPr>
                <w:lang w:val="fr-FR"/>
              </w:rPr>
              <w:t>WISE PLC -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28D3148"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DA84C5A" w14:textId="77777777">
            <w:pPr>
              <w:pStyle w:val="Tab3MiddleColNonGras"/>
              <w:rPr>
                <w:lang w:val="fr-FR"/>
              </w:rPr>
            </w:pPr>
            <w:r>
              <w:rPr>
                <w:lang w:val="fr-FR"/>
              </w:rPr>
              <w:t>3 340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C86178D" w14:textId="77777777">
            <w:pPr>
              <w:pStyle w:val="Tab3MiddleColNonGras"/>
              <w:rPr>
                <w:lang w:val="fr-FR"/>
              </w:rPr>
            </w:pPr>
            <w:r>
              <w:rPr>
                <w:lang w:val="fr-FR"/>
              </w:rPr>
              <w:t>47 600,81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F425A8E" w14:textId="77777777">
            <w:pPr>
              <w:pStyle w:val="Tab3LastColNonGras"/>
              <w:rPr>
                <w:lang w:val="fr-FR"/>
              </w:rPr>
            </w:pPr>
            <w:r>
              <w:rPr>
                <w:lang w:val="fr-FR"/>
              </w:rPr>
              <w:t>0,01</w:t>
            </w:r>
          </w:p>
        </w:tc>
      </w:tr>
      <w:tr w14:paraId="036939F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8E4C107" w14:textId="77777777">
            <w:pPr>
              <w:pStyle w:val="Tab1FirstColGras"/>
              <w:rPr>
                <w:lang w:val="fr-FR"/>
              </w:rPr>
            </w:pPr>
            <w:r>
              <w:rPr>
                <w:lang w:val="fr-FR"/>
              </w:rPr>
              <w:t>Matériaux de construction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1ACDF5D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6A5C4FA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7269B09B" w14:textId="77777777">
            <w:pPr>
              <w:pStyle w:val="Tab1MiddleColGras"/>
              <w:rPr>
                <w:lang w:val="fr-FR"/>
              </w:rPr>
            </w:pPr>
            <w:r>
              <w:rPr>
                <w:lang w:val="fr-FR"/>
              </w:rPr>
              <w:t>290 553,48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BA927D0" w14:textId="77777777">
            <w:pPr>
              <w:pStyle w:val="Tab1LastColGras"/>
              <w:rPr>
                <w:lang w:val="fr-FR"/>
              </w:rPr>
            </w:pPr>
            <w:r>
              <w:rPr>
                <w:lang w:val="fr-FR"/>
              </w:rPr>
              <w:t>0,08</w:t>
            </w:r>
          </w:p>
        </w:tc>
      </w:tr>
      <w:tr w14:paraId="2DE5201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6E2A088" w14:textId="77777777">
            <w:pPr>
              <w:pStyle w:val="Tab3FirstColNonGras"/>
              <w:rPr>
                <w:lang w:val="fr-FR"/>
              </w:rPr>
            </w:pPr>
            <w:r>
              <w:rPr>
                <w:lang w:val="fr-FR"/>
              </w:rPr>
              <w:t>VULCAN MATERIALS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F358AB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418BFA3" w14:textId="77777777">
            <w:pPr>
              <w:pStyle w:val="Tab3MiddleColNonGras"/>
              <w:rPr>
                <w:lang w:val="fr-FR"/>
              </w:rPr>
            </w:pPr>
            <w:r>
              <w:rPr>
                <w:lang w:val="fr-FR"/>
              </w:rPr>
              <w:t>1 114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47CD2F6" w14:textId="77777777">
            <w:pPr>
              <w:pStyle w:val="Tab3MiddleColNonGras"/>
              <w:rPr>
                <w:lang w:val="fr-FR"/>
              </w:rPr>
            </w:pPr>
            <w:r>
              <w:rPr>
                <w:lang w:val="fr-FR"/>
              </w:rPr>
              <w:t>290 553,48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3B62638" w14:textId="77777777">
            <w:pPr>
              <w:pStyle w:val="Tab3LastColNonGras"/>
              <w:rPr>
                <w:lang w:val="fr-FR"/>
              </w:rPr>
            </w:pPr>
            <w:r>
              <w:rPr>
                <w:lang w:val="fr-FR"/>
              </w:rPr>
              <w:t>0,08</w:t>
            </w:r>
          </w:p>
        </w:tc>
      </w:tr>
      <w:tr w14:paraId="357854D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4A0DD66C" w14:textId="77777777">
            <w:pPr>
              <w:pStyle w:val="Tab1FirstColGras"/>
              <w:rPr>
                <w:lang w:val="fr-FR"/>
              </w:rPr>
            </w:pPr>
            <w:r>
              <w:rPr>
                <w:lang w:val="fr-FR"/>
              </w:rPr>
              <w:t>Media</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0FE7B79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779F05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2C06426D" w14:textId="77777777">
            <w:pPr>
              <w:pStyle w:val="Tab1MiddleColGras"/>
              <w:rPr>
                <w:lang w:val="fr-FR"/>
              </w:rPr>
            </w:pPr>
            <w:r>
              <w:rPr>
                <w:lang w:val="fr-FR"/>
              </w:rPr>
              <w:t>1 435 885,33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72F1D01" w14:textId="77777777">
            <w:pPr>
              <w:pStyle w:val="Tab1LastColGras"/>
              <w:rPr>
                <w:lang w:val="fr-FR"/>
              </w:rPr>
            </w:pPr>
            <w:r>
              <w:rPr>
                <w:lang w:val="fr-FR"/>
              </w:rPr>
              <w:t>0,41</w:t>
            </w:r>
          </w:p>
        </w:tc>
      </w:tr>
      <w:tr w14:paraId="7A6E025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45B1BF6" w14:textId="77777777">
            <w:pPr>
              <w:pStyle w:val="Tab3FirstColNonGras"/>
              <w:rPr>
                <w:lang w:val="fr-FR"/>
              </w:rPr>
            </w:pPr>
            <w:r>
              <w:rPr>
                <w:lang w:val="fr-FR"/>
              </w:rPr>
              <w:t>CHARTER COMMUNICATIONS INC-A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64C892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1358BE3" w14:textId="77777777">
            <w:pPr>
              <w:pStyle w:val="Tab3MiddleColNonGras"/>
              <w:rPr>
                <w:lang w:val="fr-FR"/>
              </w:rPr>
            </w:pPr>
            <w:r>
              <w:rPr>
                <w:lang w:val="fr-FR"/>
              </w:rPr>
              <w:t>442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E442F39" w14:textId="77777777">
            <w:pPr>
              <w:pStyle w:val="Tab3MiddleColNonGras"/>
              <w:rPr>
                <w:lang w:val="fr-FR"/>
              </w:rPr>
            </w:pPr>
            <w:r>
              <w:rPr>
                <w:lang w:val="fr-FR"/>
              </w:rPr>
              <w:t>180 694,02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8D47A8C" w14:textId="77777777">
            <w:pPr>
              <w:pStyle w:val="Tab3LastColNonGras"/>
              <w:rPr>
                <w:lang w:val="fr-FR"/>
              </w:rPr>
            </w:pPr>
            <w:r>
              <w:rPr>
                <w:lang w:val="fr-FR"/>
              </w:rPr>
              <w:t>0,05</w:t>
            </w:r>
          </w:p>
        </w:tc>
      </w:tr>
      <w:tr w14:paraId="37560C2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95D516C" w14:textId="77777777">
            <w:pPr>
              <w:pStyle w:val="Tab3FirstColNonGras"/>
              <w:rPr>
                <w:lang w:val="fr-FR"/>
              </w:rPr>
            </w:pPr>
            <w:r>
              <w:rPr>
                <w:lang w:val="fr-FR"/>
              </w:rPr>
              <w:t>COMCAST CORP-CLASS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C09798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287C2A0" w14:textId="77777777">
            <w:pPr>
              <w:pStyle w:val="Tab3MiddleColNonGras"/>
              <w:rPr>
                <w:lang w:val="fr-FR"/>
              </w:rPr>
            </w:pPr>
            <w:r>
              <w:rPr>
                <w:lang w:val="fr-FR"/>
              </w:rPr>
              <w:t>18 448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D424FC3" w14:textId="77777777">
            <w:pPr>
              <w:pStyle w:val="Tab3MiddleColNonGras"/>
              <w:rPr>
                <w:lang w:val="fr-FR"/>
              </w:rPr>
            </w:pPr>
            <w:r>
              <w:rPr>
                <w:lang w:val="fr-FR"/>
              </w:rPr>
              <w:t>658 409,12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3FACB4D" w14:textId="77777777">
            <w:pPr>
              <w:pStyle w:val="Tab3LastColNonGras"/>
              <w:rPr>
                <w:lang w:val="fr-FR"/>
              </w:rPr>
            </w:pPr>
            <w:r>
              <w:rPr>
                <w:lang w:val="fr-FR"/>
              </w:rPr>
              <w:t>0,19</w:t>
            </w:r>
          </w:p>
        </w:tc>
      </w:tr>
      <w:tr w14:paraId="3667101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B1E3E4A" w14:textId="77777777">
            <w:pPr>
              <w:pStyle w:val="Tab3FirstColNonGras"/>
              <w:rPr>
                <w:lang w:val="fr-FR"/>
              </w:rPr>
            </w:pPr>
            <w:r>
              <w:rPr>
                <w:lang w:val="fr-FR"/>
              </w:rPr>
              <w:t>DENTSU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2488735"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377CC81" w14:textId="77777777">
            <w:pPr>
              <w:pStyle w:val="Tab3MiddleColNonGras"/>
              <w:rPr>
                <w:lang w:val="fr-FR"/>
              </w:rPr>
            </w:pPr>
            <w:r>
              <w:rPr>
                <w:lang w:val="fr-FR"/>
              </w:rPr>
              <w:t>1 200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5ED38F1" w14:textId="77777777">
            <w:pPr>
              <w:pStyle w:val="Tab3MiddleColNonGras"/>
              <w:rPr>
                <w:lang w:val="fr-FR"/>
              </w:rPr>
            </w:pPr>
            <w:r>
              <w:rPr>
                <w:lang w:val="fr-FR"/>
              </w:rPr>
              <w:t>26 551,28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8AE6BB6" w14:textId="77777777">
            <w:pPr>
              <w:pStyle w:val="Tab3LastColNonGras"/>
              <w:rPr>
                <w:lang w:val="fr-FR"/>
              </w:rPr>
            </w:pPr>
            <w:r>
              <w:rPr>
                <w:lang w:val="fr-FR"/>
              </w:rPr>
              <w:t>0,01</w:t>
            </w:r>
          </w:p>
        </w:tc>
      </w:tr>
      <w:tr w14:paraId="75E1E18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AE21110" w14:textId="77777777">
            <w:pPr>
              <w:pStyle w:val="Tab3FirstColNonGras"/>
              <w:rPr>
                <w:lang w:val="fr-FR"/>
              </w:rPr>
            </w:pPr>
            <w:r>
              <w:rPr>
                <w:lang w:val="fr-FR"/>
              </w:rPr>
              <w:t>FOX CORP - 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DB5553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0925CD1" w14:textId="77777777">
            <w:pPr>
              <w:pStyle w:val="Tab3MiddleColNonGras"/>
              <w:rPr>
                <w:lang w:val="fr-FR"/>
              </w:rPr>
            </w:pPr>
            <w:r>
              <w:rPr>
                <w:lang w:val="fr-FR"/>
              </w:rPr>
              <w:t>1 320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9FFAF38" w14:textId="77777777">
            <w:pPr>
              <w:pStyle w:val="Tab3MiddleColNonGras"/>
              <w:rPr>
                <w:lang w:val="fr-FR"/>
              </w:rPr>
            </w:pPr>
            <w:r>
              <w:rPr>
                <w:lang w:val="fr-FR"/>
              </w:rPr>
              <w:t>73 972,80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0F1C366" w14:textId="77777777">
            <w:pPr>
              <w:pStyle w:val="Tab3LastColNonGras"/>
              <w:rPr>
                <w:lang w:val="fr-FR"/>
              </w:rPr>
            </w:pPr>
            <w:r>
              <w:rPr>
                <w:lang w:val="fr-FR"/>
              </w:rPr>
              <w:t>0,02</w:t>
            </w:r>
          </w:p>
        </w:tc>
      </w:tr>
      <w:tr w14:paraId="627CB50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59661E4" w14:textId="77777777">
            <w:pPr>
              <w:pStyle w:val="Tab3FirstColNonGras"/>
              <w:rPr>
                <w:lang w:val="fr-FR"/>
              </w:rPr>
            </w:pPr>
            <w:r>
              <w:rPr>
                <w:lang w:val="fr-FR"/>
              </w:rPr>
              <w:t>FOX CORP - CLASS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536644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2B2131F" w14:textId="77777777">
            <w:pPr>
              <w:pStyle w:val="Tab3MiddleColNonGras"/>
              <w:rPr>
                <w:lang w:val="fr-FR"/>
              </w:rPr>
            </w:pPr>
            <w:r>
              <w:rPr>
                <w:lang w:val="fr-FR"/>
              </w:rPr>
              <w:t>766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494547D" w14:textId="77777777">
            <w:pPr>
              <w:pStyle w:val="Tab3MiddleColNonGras"/>
              <w:rPr>
                <w:lang w:val="fr-FR"/>
              </w:rPr>
            </w:pPr>
            <w:r>
              <w:rPr>
                <w:lang w:val="fr-FR"/>
              </w:rPr>
              <w:t>39 548,58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97A4381" w14:textId="77777777">
            <w:pPr>
              <w:pStyle w:val="Tab3LastColNonGras"/>
              <w:rPr>
                <w:lang w:val="fr-FR"/>
              </w:rPr>
            </w:pPr>
            <w:r>
              <w:rPr>
                <w:lang w:val="fr-FR"/>
              </w:rPr>
              <w:t>0,01</w:t>
            </w:r>
          </w:p>
        </w:tc>
      </w:tr>
      <w:tr w14:paraId="00C2FB6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53ACA67" w14:textId="77777777">
            <w:pPr>
              <w:pStyle w:val="Tab3FirstColNonGras"/>
              <w:rPr>
                <w:lang w:val="fr-FR"/>
              </w:rPr>
            </w:pPr>
            <w:r>
              <w:rPr>
                <w:lang w:val="fr-FR"/>
              </w:rPr>
              <w:t>INFORMA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B73B5F9"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118E228" w14:textId="77777777">
            <w:pPr>
              <w:pStyle w:val="Tab3MiddleColNonGras"/>
              <w:rPr>
                <w:lang w:val="fr-FR"/>
              </w:rPr>
            </w:pPr>
            <w:r>
              <w:rPr>
                <w:lang w:val="fr-FR"/>
              </w:rPr>
              <w:t>6 266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2A8E40E" w14:textId="77777777">
            <w:pPr>
              <w:pStyle w:val="Tab3MiddleColNonGras"/>
              <w:rPr>
                <w:lang w:val="fr-FR"/>
              </w:rPr>
            </w:pPr>
            <w:r>
              <w:rPr>
                <w:lang w:val="fr-FR"/>
              </w:rPr>
              <w:t>69 191,41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441F0E2" w14:textId="77777777">
            <w:pPr>
              <w:pStyle w:val="Tab3LastColNonGras"/>
              <w:rPr>
                <w:lang w:val="fr-FR"/>
              </w:rPr>
            </w:pPr>
            <w:r>
              <w:rPr>
                <w:lang w:val="fr-FR"/>
              </w:rPr>
              <w:t>0,02</w:t>
            </w:r>
          </w:p>
        </w:tc>
      </w:tr>
      <w:tr w14:paraId="2133960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3343899" w14:textId="77777777">
            <w:pPr>
              <w:pStyle w:val="Tab3FirstColNonGras"/>
              <w:rPr>
                <w:lang w:val="fr-FR"/>
              </w:rPr>
            </w:pPr>
            <w:r>
              <w:rPr>
                <w:lang w:val="fr-FR"/>
              </w:rPr>
              <w:t>OMNICOM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56C21A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0548B7D" w14:textId="77777777">
            <w:pPr>
              <w:pStyle w:val="Tab3MiddleColNonGras"/>
              <w:rPr>
                <w:lang w:val="fr-FR"/>
              </w:rPr>
            </w:pPr>
            <w:r>
              <w:rPr>
                <w:lang w:val="fr-FR"/>
              </w:rPr>
              <w:t>1 295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678299A" w14:textId="77777777">
            <w:pPr>
              <w:pStyle w:val="Tab3MiddleColNonGras"/>
              <w:rPr>
                <w:lang w:val="fr-FR"/>
              </w:rPr>
            </w:pPr>
            <w:r>
              <w:rPr>
                <w:lang w:val="fr-FR"/>
              </w:rPr>
              <w:t>93 162,30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AE0E810" w14:textId="77777777">
            <w:pPr>
              <w:pStyle w:val="Tab3LastColNonGras"/>
              <w:rPr>
                <w:lang w:val="fr-FR"/>
              </w:rPr>
            </w:pPr>
            <w:r>
              <w:rPr>
                <w:lang w:val="fr-FR"/>
              </w:rPr>
              <w:t>0,03</w:t>
            </w:r>
          </w:p>
        </w:tc>
      </w:tr>
      <w:tr w14:paraId="6DCC581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30FCA95" w14:textId="77777777">
            <w:pPr>
              <w:pStyle w:val="Tab3FirstColNonGras"/>
              <w:rPr>
                <w:lang w:val="fr-FR"/>
              </w:rPr>
            </w:pPr>
            <w:r>
              <w:rPr>
                <w:lang w:val="fr-FR"/>
              </w:rPr>
              <w:t>PUBLICIS GROUPE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FDBA4E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850EAAF" w14:textId="77777777">
            <w:pPr>
              <w:pStyle w:val="Tab3MiddleColNonGras"/>
              <w:rPr>
                <w:lang w:val="fr-FR"/>
              </w:rPr>
            </w:pPr>
            <w:r>
              <w:rPr>
                <w:lang w:val="fr-FR"/>
              </w:rPr>
              <w:t>1 228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3481616" w14:textId="77777777">
            <w:pPr>
              <w:pStyle w:val="Tab3MiddleColNonGras"/>
              <w:rPr>
                <w:lang w:val="fr-FR"/>
              </w:rPr>
            </w:pPr>
            <w:r>
              <w:rPr>
                <w:lang w:val="fr-FR"/>
              </w:rPr>
              <w:t>137 921,55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F843404" w14:textId="77777777">
            <w:pPr>
              <w:pStyle w:val="Tab3LastColNonGras"/>
              <w:rPr>
                <w:lang w:val="fr-FR"/>
              </w:rPr>
            </w:pPr>
            <w:r>
              <w:rPr>
                <w:lang w:val="fr-FR"/>
              </w:rPr>
              <w:t>0,04</w:t>
            </w:r>
          </w:p>
        </w:tc>
      </w:tr>
      <w:tr w14:paraId="5A3097A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35D487F" w14:textId="77777777">
            <w:pPr>
              <w:pStyle w:val="Tab3FirstColNonGras"/>
              <w:rPr>
                <w:lang w:val="fr-FR"/>
              </w:rPr>
            </w:pPr>
            <w:r>
              <w:rPr>
                <w:lang w:val="fr-FR"/>
              </w:rPr>
              <w:t>THE TRADE DESK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CB302A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A78DA2B" w14:textId="77777777">
            <w:pPr>
              <w:pStyle w:val="Tab3MiddleColNonGras"/>
              <w:rPr>
                <w:lang w:val="fr-FR"/>
              </w:rPr>
            </w:pPr>
            <w:r>
              <w:rPr>
                <w:lang w:val="fr-FR"/>
              </w:rPr>
              <w:t>2 173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9566AE1" w14:textId="77777777">
            <w:pPr>
              <w:pStyle w:val="Tab3MiddleColNonGras"/>
              <w:rPr>
                <w:lang w:val="fr-FR"/>
              </w:rPr>
            </w:pPr>
            <w:r>
              <w:rPr>
                <w:lang w:val="fr-FR"/>
              </w:rPr>
              <w:t>156 434,27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34F099D" w14:textId="77777777">
            <w:pPr>
              <w:pStyle w:val="Tab3LastColNonGras"/>
              <w:rPr>
                <w:lang w:val="fr-FR"/>
              </w:rPr>
            </w:pPr>
            <w:r>
              <w:rPr>
                <w:lang w:val="fr-FR"/>
              </w:rPr>
              <w:t>0,04</w:t>
            </w:r>
          </w:p>
        </w:tc>
      </w:tr>
      <w:tr w14:paraId="55529DC6"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5362C9F" w14:textId="77777777">
            <w:pPr>
              <w:pStyle w:val="Tab1FirstColGras"/>
              <w:rPr>
                <w:lang w:val="fr-FR"/>
              </w:rPr>
            </w:pPr>
            <w:r>
              <w:rPr>
                <w:lang w:val="fr-FR"/>
              </w:rPr>
              <w:t>Médias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5A5A928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5FB3F273"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15690277" w14:textId="77777777">
            <w:pPr>
              <w:pStyle w:val="Tab1MiddleColGras"/>
              <w:rPr>
                <w:lang w:val="fr-FR"/>
              </w:rPr>
            </w:pPr>
            <w:r>
              <w:rPr>
                <w:lang w:val="fr-FR"/>
              </w:rPr>
              <w:t>18 745,31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8905D27" w14:textId="77777777">
            <w:pPr>
              <w:pStyle w:val="Tab1LastColGras"/>
              <w:rPr>
                <w:lang w:val="fr-FR"/>
              </w:rPr>
            </w:pPr>
            <w:r>
              <w:rPr>
                <w:lang w:val="fr-FR"/>
              </w:rPr>
              <w:t>0,01</w:t>
            </w:r>
          </w:p>
        </w:tc>
      </w:tr>
      <w:tr w14:paraId="62DF360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D7B9177" w14:textId="77777777">
            <w:pPr>
              <w:pStyle w:val="Tab3FirstColNonGras"/>
              <w:rPr>
                <w:lang w:val="fr-FR"/>
              </w:rPr>
            </w:pPr>
            <w:r>
              <w:rPr>
                <w:lang w:val="fr-FR"/>
              </w:rPr>
              <w:t>SGH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8886895"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420FA9D" w14:textId="77777777">
            <w:pPr>
              <w:pStyle w:val="Tab3MiddleColNonGras"/>
              <w:rPr>
                <w:lang w:val="fr-FR"/>
              </w:rPr>
            </w:pPr>
            <w:r>
              <w:rPr>
                <w:lang w:val="fr-FR"/>
              </w:rPr>
              <w:t>529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03B34C0" w14:textId="77777777">
            <w:pPr>
              <w:pStyle w:val="Tab3MiddleColNonGras"/>
              <w:rPr>
                <w:lang w:val="fr-FR"/>
              </w:rPr>
            </w:pPr>
            <w:r>
              <w:rPr>
                <w:lang w:val="fr-FR"/>
              </w:rPr>
              <w:t>18 745,31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A6369D0" w14:textId="77777777">
            <w:pPr>
              <w:pStyle w:val="Tab3LastColNonGras"/>
              <w:rPr>
                <w:lang w:val="fr-FR"/>
              </w:rPr>
            </w:pPr>
            <w:r>
              <w:rPr>
                <w:lang w:val="fr-FR"/>
              </w:rPr>
              <w:t>0,01</w:t>
            </w:r>
          </w:p>
        </w:tc>
      </w:tr>
      <w:tr w14:paraId="4725343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28280F0C" w14:textId="77777777">
            <w:pPr>
              <w:pStyle w:val="Tab1FirstColGras"/>
              <w:rPr>
                <w:lang w:val="fr-FR"/>
              </w:rPr>
            </w:pPr>
            <w:r>
              <w:rPr>
                <w:lang w:val="fr-FR"/>
              </w:rPr>
              <w:t>Médias et services interactifs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23D5FFC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63C3170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4E57C3FB" w14:textId="77777777">
            <w:pPr>
              <w:pStyle w:val="Tab1MiddleColGras"/>
              <w:rPr>
                <w:lang w:val="fr-FR"/>
              </w:rPr>
            </w:pPr>
            <w:r>
              <w:rPr>
                <w:lang w:val="fr-FR"/>
              </w:rPr>
              <w:t>18 408 498,55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8065CDC" w14:textId="77777777">
            <w:pPr>
              <w:pStyle w:val="Tab1LastColGras"/>
              <w:rPr>
                <w:lang w:val="fr-FR"/>
              </w:rPr>
            </w:pPr>
            <w:r>
              <w:rPr>
                <w:lang w:val="fr-FR"/>
              </w:rPr>
              <w:t>5,29</w:t>
            </w:r>
          </w:p>
        </w:tc>
      </w:tr>
      <w:tr w14:paraId="5240CD1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95223EF" w14:textId="77777777">
            <w:pPr>
              <w:pStyle w:val="Tab3FirstColNonGras"/>
              <w:rPr>
                <w:lang w:val="fr-FR"/>
              </w:rPr>
            </w:pPr>
            <w:r>
              <w:rPr>
                <w:lang w:val="fr-FR"/>
              </w:rPr>
              <w:t>ALPHABET INC-CL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F3979D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B04FECF" w14:textId="77777777">
            <w:pPr>
              <w:pStyle w:val="Tab3MiddleColNonGras"/>
              <w:rPr>
                <w:lang w:val="fr-FR"/>
              </w:rPr>
            </w:pPr>
            <w:r>
              <w:rPr>
                <w:lang w:val="fr-FR"/>
              </w:rPr>
              <w:t>30 102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9B017C7" w14:textId="77777777">
            <w:pPr>
              <w:pStyle w:val="Tab3MiddleColNonGras"/>
              <w:rPr>
                <w:lang w:val="fr-FR"/>
              </w:rPr>
            </w:pPr>
            <w:r>
              <w:rPr>
                <w:lang w:val="fr-FR"/>
              </w:rPr>
              <w:t>5 304 875,46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38CF933" w14:textId="77777777">
            <w:pPr>
              <w:pStyle w:val="Tab3LastColNonGras"/>
              <w:rPr>
                <w:lang w:val="fr-FR"/>
              </w:rPr>
            </w:pPr>
            <w:r>
              <w:rPr>
                <w:lang w:val="fr-FR"/>
              </w:rPr>
              <w:t>1,52</w:t>
            </w:r>
          </w:p>
        </w:tc>
      </w:tr>
      <w:tr w14:paraId="23519D8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B0850E9" w14:textId="77777777">
            <w:pPr>
              <w:pStyle w:val="Tab3FirstColNonGras"/>
              <w:rPr>
                <w:lang w:val="fr-FR"/>
              </w:rPr>
            </w:pPr>
            <w:r>
              <w:rPr>
                <w:lang w:val="fr-FR"/>
              </w:rPr>
              <w:t>ALPHABET INC-CL 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914A98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8B954D3" w14:textId="77777777">
            <w:pPr>
              <w:pStyle w:val="Tab3MiddleColNonGras"/>
              <w:rPr>
                <w:lang w:val="fr-FR"/>
              </w:rPr>
            </w:pPr>
            <w:r>
              <w:rPr>
                <w:lang w:val="fr-FR"/>
              </w:rPr>
              <w:t>25 531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8F7EAE3" w14:textId="77777777">
            <w:pPr>
              <w:pStyle w:val="Tab3MiddleColNonGras"/>
              <w:rPr>
                <w:lang w:val="fr-FR"/>
              </w:rPr>
            </w:pPr>
            <w:r>
              <w:rPr>
                <w:lang w:val="fr-FR"/>
              </w:rPr>
              <w:t>4 528 944,09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9FABDD5" w14:textId="77777777">
            <w:pPr>
              <w:pStyle w:val="Tab3LastColNonGras"/>
              <w:rPr>
                <w:lang w:val="fr-FR"/>
              </w:rPr>
            </w:pPr>
            <w:r>
              <w:rPr>
                <w:lang w:val="fr-FR"/>
              </w:rPr>
              <w:t>1,30</w:t>
            </w:r>
          </w:p>
        </w:tc>
      </w:tr>
    </w:tbl>
    <w:p w:rsidR="001F4AEE" w14:paraId="0D13FA90" w14:textId="77777777">
      <w:pPr>
        <w:sectPr>
          <w:headerReference w:type="default" r:id="rId46"/>
          <w:footerReference w:type="default" r:id="rId47"/>
          <w:pgSz w:w="11900" w:h="16840"/>
          <w:pgMar w:top="2154" w:right="1134" w:bottom="1134" w:left="1134" w:header="400" w:footer="400" w:gutter="0"/>
          <w:cols w:space="720"/>
        </w:sectPr>
      </w:pPr>
    </w:p>
    <w:p w:rsidR="001F4AEE" w14:paraId="52802F97" w14:textId="77777777">
      <w:pPr>
        <w:spacing w:line="30" w:lineRule="exact"/>
        <w:rPr>
          <w:sz w:val="3"/>
        </w:rPr>
      </w:pPr>
    </w:p>
    <w:p w:rsidR="001F4AEE" w14:paraId="1AAEA66C" w14:textId="77777777">
      <w:pPr>
        <w:pStyle w:val="TechnicalBookmark"/>
        <w:rPr>
          <w:lang w:val="fr-FR"/>
        </w:rPr>
      </w:pPr>
      <w:r>
        <w:rPr>
          <w:lang w:val="fr-FR"/>
        </w:rPr>
        <w:fldChar w:fldCharType="begin"/>
      </w:r>
      <w:r>
        <w:rPr>
          <w:lang w:val="fr-FR"/>
        </w:rPr>
        <w:instrText xml:space="preserve"> SET 2786F2B54F4F3E58CE720209FE6F9936 "" </w:instrText>
      </w:r>
      <w:r>
        <w:rPr>
          <w:lang w:val="fr-FR"/>
        </w:rPr>
        <w:fldChar w:fldCharType="separate"/>
      </w:r>
      <w:bookmarkStart w:id="102" w:name="2786F2B54F4F3E58CE720209FE6F9936"/>
      <w:bookmarkEnd w:id="102"/>
      <w:r>
        <w:rPr>
          <w:lang w:val="fr-FR"/>
        </w:rPr>
        <w:fldChar w:fldCharType="end"/>
      </w:r>
    </w:p>
    <w:p w:rsidR="001F4AEE" w14:paraId="39334CA9" w14:textId="77777777">
      <w:pPr>
        <w:pStyle w:val="H2"/>
        <w:rPr>
          <w:lang w:val="fr-FR"/>
        </w:rPr>
      </w:pPr>
      <w:r>
        <w:rPr>
          <w:lang w:val="fr-FR"/>
        </w:rPr>
        <w:t xml:space="preserve">Inventaire des éléments de bilan </w:t>
      </w:r>
    </w:p>
    <w:p w:rsidR="001F4AEE" w14:paraId="0010B78E" w14:textId="77777777">
      <w:pPr>
        <w:pStyle w:val="NoRefToc"/>
        <w:rPr>
          <w:lang w:val="fr-FR"/>
        </w:rPr>
      </w:pPr>
    </w:p>
    <w:p w:rsidR="001F4AEE" w14:paraId="1C5E72FE" w14:textId="77777777">
      <w:pPr>
        <w:pStyle w:val="TechnicalBookmark"/>
        <w:rPr>
          <w:lang w:val="fr-FR"/>
        </w:rPr>
      </w:pPr>
      <w:r>
        <w:rPr>
          <w:lang w:val="fr-FR"/>
        </w:rPr>
        <w:fldChar w:fldCharType="begin"/>
      </w:r>
      <w:r>
        <w:rPr>
          <w:lang w:val="fr-FR"/>
        </w:rPr>
        <w:instrText xml:space="preserve"> SET B988AD491779813E8FDDBE62ACF6E485 "" </w:instrText>
      </w:r>
      <w:r>
        <w:rPr>
          <w:lang w:val="fr-FR"/>
        </w:rPr>
        <w:fldChar w:fldCharType="separate"/>
      </w:r>
      <w:bookmarkStart w:id="103" w:name="B988AD491779813E8FDDBE62ACF6E485"/>
      <w:bookmarkEnd w:id="103"/>
      <w:r>
        <w:rPr>
          <w:lang w:val="fr-FR"/>
        </w:rPr>
        <w:fldChar w:fldCharType="end"/>
      </w:r>
    </w:p>
    <w:p w:rsidR="001F4AEE" w14:paraId="6E6E3AC9"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53B4E567"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15D2278F"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3A445A36"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6B45AB79" w14:textId="77777777">
            <w:pPr>
              <w:pStyle w:val="EnteteTabMiddleColBordure"/>
              <w:spacing w:line="184" w:lineRule="exact"/>
              <w:rPr>
                <w:lang w:val="fr-FR"/>
              </w:rPr>
            </w:pPr>
            <w:r>
              <w:rPr>
                <w:lang w:val="fr-FR"/>
              </w:rPr>
              <w:t>Quantité ou</w:t>
            </w:r>
          </w:p>
          <w:p w:rsidR="001F4AEE" w14:paraId="6AD02356"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4DE8871D"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6C943A86" w14:textId="77777777">
            <w:pPr>
              <w:pStyle w:val="EnteteTabLastColBordure"/>
              <w:spacing w:line="184" w:lineRule="exact"/>
              <w:rPr>
                <w:lang w:val="fr-FR"/>
              </w:rPr>
            </w:pPr>
            <w:r>
              <w:rPr>
                <w:lang w:val="fr-FR"/>
              </w:rPr>
              <w:t>% Actif</w:t>
            </w:r>
          </w:p>
          <w:p w:rsidR="001F4AEE" w14:paraId="0D962277" w14:textId="77777777">
            <w:pPr>
              <w:pStyle w:val="EnteteTabLastColBordure"/>
              <w:spacing w:line="184" w:lineRule="exact"/>
              <w:rPr>
                <w:lang w:val="fr-FR"/>
              </w:rPr>
            </w:pPr>
            <w:r>
              <w:rPr>
                <w:lang w:val="fr-FR"/>
              </w:rPr>
              <w:t>Net</w:t>
            </w:r>
          </w:p>
        </w:tc>
      </w:tr>
      <w:tr w14:paraId="23A4417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DD186C5" w14:textId="77777777">
            <w:pPr>
              <w:pStyle w:val="Tab3FirstColNonGras"/>
              <w:rPr>
                <w:lang w:val="fr-FR"/>
              </w:rPr>
            </w:pPr>
            <w:r>
              <w:rPr>
                <w:lang w:val="fr-FR"/>
              </w:rPr>
              <w:t>CAR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A2C120D"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7BD5870" w14:textId="77777777">
            <w:pPr>
              <w:pStyle w:val="Tab3MiddleColNonGras"/>
              <w:rPr>
                <w:lang w:val="fr-FR"/>
              </w:rPr>
            </w:pPr>
            <w:r>
              <w:rPr>
                <w:lang w:val="fr-FR"/>
              </w:rPr>
              <w:t>2 402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5F680C0" w14:textId="77777777">
            <w:pPr>
              <w:pStyle w:val="Tab3MiddleColNonGras"/>
              <w:rPr>
                <w:lang w:val="fr-FR"/>
              </w:rPr>
            </w:pPr>
            <w:r>
              <w:rPr>
                <w:lang w:val="fr-FR"/>
              </w:rPr>
              <w:t>58 905,72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CB62B33" w14:textId="77777777">
            <w:pPr>
              <w:pStyle w:val="Tab3LastColNonGras"/>
              <w:rPr>
                <w:lang w:val="fr-FR"/>
              </w:rPr>
            </w:pPr>
            <w:r>
              <w:rPr>
                <w:lang w:val="fr-FR"/>
              </w:rPr>
              <w:t>0,02</w:t>
            </w:r>
          </w:p>
        </w:tc>
      </w:tr>
      <w:tr w14:paraId="2E0A138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F70F28F" w14:textId="77777777">
            <w:pPr>
              <w:pStyle w:val="Tab3FirstColNonGras"/>
              <w:rPr>
                <w:lang w:val="fr-FR"/>
              </w:rPr>
            </w:pPr>
            <w:r>
              <w:rPr>
                <w:lang w:val="fr-FR"/>
              </w:rPr>
              <w:t>LY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B1640D9"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FC2AA0E" w14:textId="77777777">
            <w:pPr>
              <w:pStyle w:val="Tab3MiddleColNonGras"/>
              <w:rPr>
                <w:lang w:val="fr-FR"/>
              </w:rPr>
            </w:pPr>
            <w:r>
              <w:rPr>
                <w:lang w:val="fr-FR"/>
              </w:rPr>
              <w:t>14 100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A02EA7F" w14:textId="77777777">
            <w:pPr>
              <w:pStyle w:val="Tab3MiddleColNonGras"/>
              <w:rPr>
                <w:lang w:val="fr-FR"/>
              </w:rPr>
            </w:pPr>
            <w:r>
              <w:rPr>
                <w:lang w:val="fr-FR"/>
              </w:rPr>
              <w:t>51 775,00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CEAFD74" w14:textId="77777777">
            <w:pPr>
              <w:pStyle w:val="Tab3LastColNonGras"/>
              <w:rPr>
                <w:lang w:val="fr-FR"/>
              </w:rPr>
            </w:pPr>
            <w:r>
              <w:rPr>
                <w:lang w:val="fr-FR"/>
              </w:rPr>
              <w:t>0,01</w:t>
            </w:r>
          </w:p>
        </w:tc>
      </w:tr>
      <w:tr w14:paraId="1D60B0C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539BC0FD" w14:textId="77777777">
            <w:pPr>
              <w:pStyle w:val="Tab3FirstColNonGras"/>
              <w:rPr>
                <w:lang w:val="en-US"/>
              </w:rPr>
            </w:pPr>
            <w:r w:rsidRPr="00D61EB0">
              <w:rPr>
                <w:lang w:val="en-US"/>
              </w:rPr>
              <w:t>META PLATFORMS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947846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7B00D41" w14:textId="77777777">
            <w:pPr>
              <w:pStyle w:val="Tab3MiddleColNonGras"/>
              <w:rPr>
                <w:lang w:val="fr-FR"/>
              </w:rPr>
            </w:pPr>
            <w:r>
              <w:rPr>
                <w:lang w:val="fr-FR"/>
              </w:rPr>
              <w:t>11 287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7F977A3" w14:textId="77777777">
            <w:pPr>
              <w:pStyle w:val="Tab3MiddleColNonGras"/>
              <w:rPr>
                <w:lang w:val="fr-FR"/>
              </w:rPr>
            </w:pPr>
            <w:r>
              <w:rPr>
                <w:lang w:val="fr-FR"/>
              </w:rPr>
              <w:t>8 330 821,83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86FA02C" w14:textId="77777777">
            <w:pPr>
              <w:pStyle w:val="Tab3LastColNonGras"/>
              <w:rPr>
                <w:lang w:val="fr-FR"/>
              </w:rPr>
            </w:pPr>
            <w:r>
              <w:rPr>
                <w:lang w:val="fr-FR"/>
              </w:rPr>
              <w:t>2,40</w:t>
            </w:r>
          </w:p>
        </w:tc>
      </w:tr>
      <w:tr w14:paraId="77D5B5A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16A47EA" w14:textId="77777777">
            <w:pPr>
              <w:pStyle w:val="Tab3FirstColNonGras"/>
              <w:rPr>
                <w:lang w:val="fr-FR"/>
              </w:rPr>
            </w:pPr>
            <w:r>
              <w:rPr>
                <w:lang w:val="fr-FR"/>
              </w:rPr>
              <w:t>REA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555A764"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2035077" w14:textId="77777777">
            <w:pPr>
              <w:pStyle w:val="Tab3MiddleColNonGras"/>
              <w:rPr>
                <w:lang w:val="fr-FR"/>
              </w:rPr>
            </w:pPr>
            <w:r>
              <w:rPr>
                <w:lang w:val="fr-FR"/>
              </w:rPr>
              <w:t>208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432B45C" w14:textId="77777777">
            <w:pPr>
              <w:pStyle w:val="Tab3MiddleColNonGras"/>
              <w:rPr>
                <w:lang w:val="fr-FR"/>
              </w:rPr>
            </w:pPr>
            <w:r>
              <w:rPr>
                <w:lang w:val="fr-FR"/>
              </w:rPr>
              <w:t>32 782,42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83DD9B4" w14:textId="77777777">
            <w:pPr>
              <w:pStyle w:val="Tab3LastColNonGras"/>
              <w:rPr>
                <w:lang w:val="fr-FR"/>
              </w:rPr>
            </w:pPr>
            <w:r>
              <w:rPr>
                <w:lang w:val="fr-FR"/>
              </w:rPr>
              <w:t>0,01</w:t>
            </w:r>
          </w:p>
        </w:tc>
      </w:tr>
      <w:tr w14:paraId="6683F29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CA63A1B" w14:textId="77777777">
            <w:pPr>
              <w:pStyle w:val="Tab3FirstColNonGras"/>
              <w:rPr>
                <w:lang w:val="fr-FR"/>
              </w:rPr>
            </w:pPr>
            <w:r>
              <w:rPr>
                <w:lang w:val="fr-FR"/>
              </w:rPr>
              <w:t>SCOUT24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00FFC7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05464B3" w14:textId="77777777">
            <w:pPr>
              <w:pStyle w:val="Tab3MiddleColNonGras"/>
              <w:rPr>
                <w:lang w:val="fr-FR"/>
              </w:rPr>
            </w:pPr>
            <w:r>
              <w:rPr>
                <w:lang w:val="fr-FR"/>
              </w:rPr>
              <w:t>347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0A8055D" w14:textId="77777777">
            <w:pPr>
              <w:pStyle w:val="Tab3MiddleColNonGras"/>
              <w:rPr>
                <w:lang w:val="fr-FR"/>
              </w:rPr>
            </w:pPr>
            <w:r>
              <w:rPr>
                <w:lang w:val="fr-FR"/>
              </w:rPr>
              <w:t>47 697,87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8E28E90" w14:textId="77777777">
            <w:pPr>
              <w:pStyle w:val="Tab3LastColNonGras"/>
              <w:rPr>
                <w:lang w:val="fr-FR"/>
              </w:rPr>
            </w:pPr>
            <w:r>
              <w:rPr>
                <w:lang w:val="fr-FR"/>
              </w:rPr>
              <w:t>0,01</w:t>
            </w:r>
          </w:p>
        </w:tc>
      </w:tr>
      <w:tr w14:paraId="30AECC1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EFF7C19" w14:textId="77777777">
            <w:pPr>
              <w:pStyle w:val="Tab3FirstColNonGras"/>
              <w:rPr>
                <w:lang w:val="fr-FR"/>
              </w:rPr>
            </w:pPr>
            <w:r>
              <w:rPr>
                <w:lang w:val="fr-FR"/>
              </w:rPr>
              <w:t>SNAP INC -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A48D01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66378FE" w14:textId="77777777">
            <w:pPr>
              <w:pStyle w:val="Tab3MiddleColNonGras"/>
              <w:rPr>
                <w:lang w:val="fr-FR"/>
              </w:rPr>
            </w:pPr>
            <w:r>
              <w:rPr>
                <w:lang w:val="fr-FR"/>
              </w:rPr>
              <w:t>6 064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1256711" w14:textId="77777777">
            <w:pPr>
              <w:pStyle w:val="Tab3MiddleColNonGras"/>
              <w:rPr>
                <w:lang w:val="fr-FR"/>
              </w:rPr>
            </w:pPr>
            <w:r>
              <w:rPr>
                <w:lang w:val="fr-FR"/>
              </w:rPr>
              <w:t>52 696,16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2EFB2E5" w14:textId="77777777">
            <w:pPr>
              <w:pStyle w:val="Tab3LastColNonGras"/>
              <w:rPr>
                <w:lang w:val="fr-FR"/>
              </w:rPr>
            </w:pPr>
            <w:r>
              <w:rPr>
                <w:lang w:val="fr-FR"/>
              </w:rPr>
              <w:t>0,02</w:t>
            </w:r>
          </w:p>
        </w:tc>
      </w:tr>
      <w:tr w14:paraId="3EC56D8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3CD954F8" w14:textId="77777777">
            <w:pPr>
              <w:pStyle w:val="Tab1FirstColGras"/>
              <w:rPr>
                <w:lang w:val="fr-FR"/>
              </w:rPr>
            </w:pPr>
            <w:r>
              <w:rPr>
                <w:lang w:val="fr-FR"/>
              </w:rPr>
              <w:t>Métaux et minerais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789D7F2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D245CA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07025566" w14:textId="77777777">
            <w:pPr>
              <w:pStyle w:val="Tab1MiddleColGras"/>
              <w:rPr>
                <w:lang w:val="fr-FR"/>
              </w:rPr>
            </w:pPr>
            <w:r>
              <w:rPr>
                <w:lang w:val="fr-FR"/>
              </w:rPr>
              <w:t>2 100 527,99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F92D369" w14:textId="77777777">
            <w:pPr>
              <w:pStyle w:val="Tab1LastColGras"/>
              <w:rPr>
                <w:lang w:val="fr-FR"/>
              </w:rPr>
            </w:pPr>
            <w:r>
              <w:rPr>
                <w:lang w:val="fr-FR"/>
              </w:rPr>
              <w:t>0,60</w:t>
            </w:r>
          </w:p>
        </w:tc>
      </w:tr>
      <w:tr w14:paraId="627B7AD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7080D7E" w14:textId="77777777">
            <w:pPr>
              <w:pStyle w:val="Tab3FirstColNonGras"/>
              <w:rPr>
                <w:lang w:val="fr-FR"/>
              </w:rPr>
            </w:pPr>
            <w:r>
              <w:rPr>
                <w:lang w:val="fr-FR"/>
              </w:rPr>
              <w:t>AGNICO EAGLE MINES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AFA63C1"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2D1B9CF" w14:textId="77777777">
            <w:pPr>
              <w:pStyle w:val="Tab3MiddleColNonGras"/>
              <w:rPr>
                <w:lang w:val="fr-FR"/>
              </w:rPr>
            </w:pPr>
            <w:r>
              <w:rPr>
                <w:lang w:val="fr-FR"/>
              </w:rPr>
              <w:t>5 245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2D1F3BF" w14:textId="77777777">
            <w:pPr>
              <w:pStyle w:val="Tab3MiddleColNonGras"/>
              <w:rPr>
                <w:lang w:val="fr-FR"/>
              </w:rPr>
            </w:pPr>
            <w:r>
              <w:rPr>
                <w:lang w:val="fr-FR"/>
              </w:rPr>
              <w:t>623 621,82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B80AD0D" w14:textId="77777777">
            <w:pPr>
              <w:pStyle w:val="Tab3LastColNonGras"/>
              <w:rPr>
                <w:lang w:val="fr-FR"/>
              </w:rPr>
            </w:pPr>
            <w:r>
              <w:rPr>
                <w:lang w:val="fr-FR"/>
              </w:rPr>
              <w:t>0,18</w:t>
            </w:r>
          </w:p>
        </w:tc>
      </w:tr>
      <w:tr w14:paraId="78075B4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3624E0B3" w14:textId="77777777">
            <w:pPr>
              <w:pStyle w:val="Tab3FirstColNonGras"/>
              <w:rPr>
                <w:lang w:val="en-US"/>
              </w:rPr>
            </w:pPr>
            <w:r w:rsidRPr="00D61EB0">
              <w:rPr>
                <w:lang w:val="en-US"/>
              </w:rPr>
              <w:t>ALAMOS GOLD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FCD1542"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9B563D6" w14:textId="77777777">
            <w:pPr>
              <w:pStyle w:val="Tab3MiddleColNonGras"/>
              <w:rPr>
                <w:lang w:val="fr-FR"/>
              </w:rPr>
            </w:pPr>
            <w:r>
              <w:rPr>
                <w:lang w:val="fr-FR"/>
              </w:rPr>
              <w:t>4 360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EC3E0EE" w14:textId="77777777">
            <w:pPr>
              <w:pStyle w:val="Tab3MiddleColNonGras"/>
              <w:rPr>
                <w:lang w:val="fr-FR"/>
              </w:rPr>
            </w:pPr>
            <w:r>
              <w:rPr>
                <w:lang w:val="fr-FR"/>
              </w:rPr>
              <w:t>115 731,83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B9902A6" w14:textId="77777777">
            <w:pPr>
              <w:pStyle w:val="Tab3LastColNonGras"/>
              <w:rPr>
                <w:lang w:val="fr-FR"/>
              </w:rPr>
            </w:pPr>
            <w:r>
              <w:rPr>
                <w:lang w:val="fr-FR"/>
              </w:rPr>
              <w:t>0,03</w:t>
            </w:r>
          </w:p>
        </w:tc>
      </w:tr>
      <w:tr w14:paraId="1109BF4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D452C0D" w14:textId="77777777">
            <w:pPr>
              <w:pStyle w:val="Tab3FirstColNonGras"/>
              <w:rPr>
                <w:lang w:val="fr-FR"/>
              </w:rPr>
            </w:pPr>
            <w:r>
              <w:rPr>
                <w:lang w:val="fr-FR"/>
              </w:rPr>
              <w:t>KINROSS GOLD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1B7BB5F"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09C24BF" w14:textId="77777777">
            <w:pPr>
              <w:pStyle w:val="Tab3MiddleColNonGras"/>
              <w:rPr>
                <w:lang w:val="fr-FR"/>
              </w:rPr>
            </w:pPr>
            <w:r>
              <w:rPr>
                <w:lang w:val="fr-FR"/>
              </w:rPr>
              <w:t>2 639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13A8954" w14:textId="77777777">
            <w:pPr>
              <w:pStyle w:val="Tab3MiddleColNonGras"/>
              <w:rPr>
                <w:lang w:val="fr-FR"/>
              </w:rPr>
            </w:pPr>
            <w:r>
              <w:rPr>
                <w:lang w:val="fr-FR"/>
              </w:rPr>
              <w:t>41 155,60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DB34277" w14:textId="77777777">
            <w:pPr>
              <w:pStyle w:val="Tab3LastColNonGras"/>
              <w:rPr>
                <w:lang w:val="fr-FR"/>
              </w:rPr>
            </w:pPr>
            <w:r>
              <w:rPr>
                <w:lang w:val="fr-FR"/>
              </w:rPr>
              <w:t>0,01</w:t>
            </w:r>
          </w:p>
        </w:tc>
      </w:tr>
      <w:tr w14:paraId="75E19BB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DFAC301" w14:textId="77777777">
            <w:pPr>
              <w:pStyle w:val="Tab3FirstColNonGras"/>
              <w:rPr>
                <w:lang w:val="fr-FR"/>
              </w:rPr>
            </w:pPr>
            <w:r>
              <w:rPr>
                <w:lang w:val="fr-FR"/>
              </w:rPr>
              <w:t>LUNDIN GOLD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817E583"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7CCBEDD" w14:textId="77777777">
            <w:pPr>
              <w:pStyle w:val="Tab3MiddleColNonGras"/>
              <w:rPr>
                <w:lang w:val="fr-FR"/>
              </w:rPr>
            </w:pPr>
            <w:r>
              <w:rPr>
                <w:lang w:val="fr-FR"/>
              </w:rPr>
              <w:t>929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4C2E9D1" w14:textId="77777777">
            <w:pPr>
              <w:pStyle w:val="Tab3MiddleColNonGras"/>
              <w:rPr>
                <w:lang w:val="fr-FR"/>
              </w:rPr>
            </w:pPr>
            <w:r>
              <w:rPr>
                <w:lang w:val="fr-FR"/>
              </w:rPr>
              <w:t>48 951,10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490E657" w14:textId="77777777">
            <w:pPr>
              <w:pStyle w:val="Tab3LastColNonGras"/>
              <w:rPr>
                <w:lang w:val="fr-FR"/>
              </w:rPr>
            </w:pPr>
            <w:r>
              <w:rPr>
                <w:lang w:val="fr-FR"/>
              </w:rPr>
              <w:t>0,01</w:t>
            </w:r>
          </w:p>
        </w:tc>
      </w:tr>
      <w:tr w14:paraId="1F487DF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B1F2B38" w14:textId="77777777">
            <w:pPr>
              <w:pStyle w:val="Tab3FirstColNonGras"/>
              <w:rPr>
                <w:lang w:val="fr-FR"/>
              </w:rPr>
            </w:pPr>
            <w:r>
              <w:rPr>
                <w:lang w:val="fr-FR"/>
              </w:rPr>
              <w:t>NEWMONT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5C9F3A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F957F06" w14:textId="77777777">
            <w:pPr>
              <w:pStyle w:val="Tab3MiddleColNonGras"/>
              <w:rPr>
                <w:lang w:val="fr-FR"/>
              </w:rPr>
            </w:pPr>
            <w:r>
              <w:rPr>
                <w:lang w:val="fr-FR"/>
              </w:rPr>
              <w:t>9 877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536E0D9" w14:textId="77777777">
            <w:pPr>
              <w:pStyle w:val="Tab3MiddleColNonGras"/>
              <w:rPr>
                <w:lang w:val="fr-FR"/>
              </w:rPr>
            </w:pPr>
            <w:r>
              <w:rPr>
                <w:lang w:val="fr-FR"/>
              </w:rPr>
              <w:t>575 434,02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55CAC3E" w14:textId="77777777">
            <w:pPr>
              <w:pStyle w:val="Tab3LastColNonGras"/>
              <w:rPr>
                <w:lang w:val="fr-FR"/>
              </w:rPr>
            </w:pPr>
            <w:r>
              <w:rPr>
                <w:lang w:val="fr-FR"/>
              </w:rPr>
              <w:t>0,17</w:t>
            </w:r>
          </w:p>
        </w:tc>
      </w:tr>
      <w:tr w14:paraId="7A52BA8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B157CD1" w14:textId="77777777">
            <w:pPr>
              <w:pStyle w:val="Tab3FirstColNonGras"/>
              <w:rPr>
                <w:lang w:val="fr-FR"/>
              </w:rPr>
            </w:pPr>
            <w:r>
              <w:rPr>
                <w:lang w:val="fr-FR"/>
              </w:rPr>
              <w:t>RELIANCE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262431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EB43859" w14:textId="77777777">
            <w:pPr>
              <w:pStyle w:val="Tab3MiddleColNonGras"/>
              <w:rPr>
                <w:lang w:val="fr-FR"/>
              </w:rPr>
            </w:pPr>
            <w:r>
              <w:rPr>
                <w:lang w:val="fr-FR"/>
              </w:rPr>
              <w:t>566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2E27F40" w14:textId="77777777">
            <w:pPr>
              <w:pStyle w:val="Tab3MiddleColNonGras"/>
              <w:rPr>
                <w:lang w:val="fr-FR"/>
              </w:rPr>
            </w:pPr>
            <w:r>
              <w:rPr>
                <w:lang w:val="fr-FR"/>
              </w:rPr>
              <w:t>177 667,40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638C10B" w14:textId="77777777">
            <w:pPr>
              <w:pStyle w:val="Tab3LastColNonGras"/>
              <w:rPr>
                <w:lang w:val="fr-FR"/>
              </w:rPr>
            </w:pPr>
            <w:r>
              <w:rPr>
                <w:lang w:val="fr-FR"/>
              </w:rPr>
              <w:t>0,05</w:t>
            </w:r>
          </w:p>
        </w:tc>
      </w:tr>
      <w:tr w14:paraId="73A0909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2C9DC46" w14:textId="77777777">
            <w:pPr>
              <w:pStyle w:val="Tab3FirstColNonGras"/>
              <w:rPr>
                <w:lang w:val="fr-FR"/>
              </w:rPr>
            </w:pPr>
            <w:r>
              <w:rPr>
                <w:lang w:val="fr-FR"/>
              </w:rPr>
              <w:t>STEEL DYNAMICS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5145B8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908D5D7" w14:textId="77777777">
            <w:pPr>
              <w:pStyle w:val="Tab3MiddleColNonGras"/>
              <w:rPr>
                <w:lang w:val="fr-FR"/>
              </w:rPr>
            </w:pPr>
            <w:r>
              <w:rPr>
                <w:lang w:val="fr-FR"/>
              </w:rPr>
              <w:t>353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30053A1" w14:textId="77777777">
            <w:pPr>
              <w:pStyle w:val="Tab3MiddleColNonGras"/>
              <w:rPr>
                <w:lang w:val="fr-FR"/>
              </w:rPr>
            </w:pPr>
            <w:r>
              <w:rPr>
                <w:lang w:val="fr-FR"/>
              </w:rPr>
              <w:t>45 187,53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E94F5A5" w14:textId="77777777">
            <w:pPr>
              <w:pStyle w:val="Tab3LastColNonGras"/>
              <w:rPr>
                <w:lang w:val="fr-FR"/>
              </w:rPr>
            </w:pPr>
            <w:r>
              <w:rPr>
                <w:lang w:val="fr-FR"/>
              </w:rPr>
              <w:t>0,01</w:t>
            </w:r>
          </w:p>
        </w:tc>
      </w:tr>
      <w:tr w14:paraId="7997D4D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1D7AC92" w14:textId="77777777">
            <w:pPr>
              <w:pStyle w:val="Tab3FirstColNonGras"/>
              <w:rPr>
                <w:lang w:val="fr-FR"/>
              </w:rPr>
            </w:pPr>
            <w:r>
              <w:rPr>
                <w:lang w:val="fr-FR"/>
              </w:rPr>
              <w:t>WHEATON PRECIOUS METALS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A045466"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326B489" w14:textId="77777777">
            <w:pPr>
              <w:pStyle w:val="Tab3MiddleColNonGras"/>
              <w:rPr>
                <w:lang w:val="fr-FR"/>
              </w:rPr>
            </w:pPr>
            <w:r>
              <w:rPr>
                <w:lang w:val="fr-FR"/>
              </w:rPr>
              <w:t>5 268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EE89966" w14:textId="77777777">
            <w:pPr>
              <w:pStyle w:val="Tab3MiddleColNonGras"/>
              <w:rPr>
                <w:lang w:val="fr-FR"/>
              </w:rPr>
            </w:pPr>
            <w:r>
              <w:rPr>
                <w:lang w:val="fr-FR"/>
              </w:rPr>
              <w:t>472 778,69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C51CFA5" w14:textId="77777777">
            <w:pPr>
              <w:pStyle w:val="Tab3LastColNonGras"/>
              <w:rPr>
                <w:lang w:val="fr-FR"/>
              </w:rPr>
            </w:pPr>
            <w:r>
              <w:rPr>
                <w:lang w:val="fr-FR"/>
              </w:rPr>
              <w:t>0,14</w:t>
            </w:r>
          </w:p>
        </w:tc>
      </w:tr>
      <w:tr w14:paraId="73919D6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50CE2004" w14:textId="77777777">
            <w:pPr>
              <w:pStyle w:val="Tab1FirstColGras"/>
              <w:rPr>
                <w:lang w:val="fr-FR"/>
              </w:rPr>
            </w:pPr>
            <w:r>
              <w:rPr>
                <w:lang w:val="fr-FR"/>
              </w:rPr>
              <w:t>Ordinateurs et périphériques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0EAF0B8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6C59035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2DE30D22" w14:textId="77777777">
            <w:pPr>
              <w:pStyle w:val="Tab1MiddleColGras"/>
              <w:rPr>
                <w:lang w:val="fr-FR"/>
              </w:rPr>
            </w:pPr>
            <w:r>
              <w:rPr>
                <w:lang w:val="fr-FR"/>
              </w:rPr>
              <w:t>18 414 773,21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A7B9F0D" w14:textId="77777777">
            <w:pPr>
              <w:pStyle w:val="Tab1LastColGras"/>
              <w:rPr>
                <w:lang w:val="fr-FR"/>
              </w:rPr>
            </w:pPr>
            <w:r>
              <w:rPr>
                <w:lang w:val="fr-FR"/>
              </w:rPr>
              <w:t>5,29</w:t>
            </w:r>
          </w:p>
        </w:tc>
      </w:tr>
      <w:tr w14:paraId="081EC14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451210F" w14:textId="77777777">
            <w:pPr>
              <w:pStyle w:val="Tab3FirstColNonGras"/>
              <w:rPr>
                <w:lang w:val="fr-FR"/>
              </w:rPr>
            </w:pPr>
            <w:r>
              <w:rPr>
                <w:lang w:val="fr-FR"/>
              </w:rPr>
              <w:t>APPLE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76E1AC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6065ECC" w14:textId="77777777">
            <w:pPr>
              <w:pStyle w:val="Tab3MiddleColNonGras"/>
              <w:rPr>
                <w:lang w:val="fr-FR"/>
              </w:rPr>
            </w:pPr>
            <w:r>
              <w:rPr>
                <w:lang w:val="fr-FR"/>
              </w:rPr>
              <w:t>64 204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D6F8069" w14:textId="77777777">
            <w:pPr>
              <w:pStyle w:val="Tab3MiddleColNonGras"/>
              <w:rPr>
                <w:lang w:val="fr-FR"/>
              </w:rPr>
            </w:pPr>
            <w:r>
              <w:rPr>
                <w:lang w:val="fr-FR"/>
              </w:rPr>
              <w:t>13 172 734,68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99E4736" w14:textId="77777777">
            <w:pPr>
              <w:pStyle w:val="Tab3LastColNonGras"/>
              <w:rPr>
                <w:lang w:val="fr-FR"/>
              </w:rPr>
            </w:pPr>
            <w:r>
              <w:rPr>
                <w:lang w:val="fr-FR"/>
              </w:rPr>
              <w:t>3,78</w:t>
            </w:r>
          </w:p>
        </w:tc>
      </w:tr>
      <w:tr w14:paraId="59EB898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EE89DE7" w14:textId="77777777">
            <w:pPr>
              <w:pStyle w:val="Tab3FirstColNonGras"/>
              <w:rPr>
                <w:lang w:val="fr-FR"/>
              </w:rPr>
            </w:pPr>
            <w:r>
              <w:rPr>
                <w:lang w:val="fr-FR"/>
              </w:rPr>
              <w:t>CANON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CFE5EBD"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5855EDD" w14:textId="77777777">
            <w:pPr>
              <w:pStyle w:val="Tab3MiddleColNonGras"/>
              <w:rPr>
                <w:lang w:val="fr-FR"/>
              </w:rPr>
            </w:pPr>
            <w:r>
              <w:rPr>
                <w:lang w:val="fr-FR"/>
              </w:rPr>
              <w:t>2 300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89514D6" w14:textId="77777777">
            <w:pPr>
              <w:pStyle w:val="Tab3MiddleColNonGras"/>
              <w:rPr>
                <w:lang w:val="fr-FR"/>
              </w:rPr>
            </w:pPr>
            <w:r>
              <w:rPr>
                <w:lang w:val="fr-FR"/>
              </w:rPr>
              <w:t>66 701,52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A4D1355" w14:textId="77777777">
            <w:pPr>
              <w:pStyle w:val="Tab3LastColNonGras"/>
              <w:rPr>
                <w:lang w:val="fr-FR"/>
              </w:rPr>
            </w:pPr>
            <w:r>
              <w:rPr>
                <w:lang w:val="fr-FR"/>
              </w:rPr>
              <w:t>0,02</w:t>
            </w:r>
          </w:p>
        </w:tc>
      </w:tr>
      <w:tr w14:paraId="315E679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C08F915" w14:textId="77777777">
            <w:pPr>
              <w:pStyle w:val="Tab3FirstColNonGras"/>
              <w:rPr>
                <w:lang w:val="fr-FR"/>
              </w:rPr>
            </w:pPr>
            <w:r>
              <w:rPr>
                <w:lang w:val="fr-FR"/>
              </w:rPr>
              <w:t>FUJITSU LIMITED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F487511"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9BFF03B" w14:textId="77777777">
            <w:pPr>
              <w:pStyle w:val="Tab3MiddleColNonGras"/>
              <w:rPr>
                <w:lang w:val="fr-FR"/>
              </w:rPr>
            </w:pPr>
            <w:r>
              <w:rPr>
                <w:lang w:val="fr-FR"/>
              </w:rPr>
              <w:t>8 600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36FE638" w14:textId="77777777">
            <w:pPr>
              <w:pStyle w:val="Tab3MiddleColNonGras"/>
              <w:rPr>
                <w:lang w:val="fr-FR"/>
              </w:rPr>
            </w:pPr>
            <w:r>
              <w:rPr>
                <w:lang w:val="fr-FR"/>
              </w:rPr>
              <w:t>209 276,90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6DFC390" w14:textId="77777777">
            <w:pPr>
              <w:pStyle w:val="Tab3LastColNonGras"/>
              <w:rPr>
                <w:lang w:val="fr-FR"/>
              </w:rPr>
            </w:pPr>
            <w:r>
              <w:rPr>
                <w:lang w:val="fr-FR"/>
              </w:rPr>
              <w:t>0,06</w:t>
            </w:r>
          </w:p>
        </w:tc>
      </w:tr>
      <w:tr w14:paraId="40C3C01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DB9FF5A" w14:textId="77777777">
            <w:pPr>
              <w:pStyle w:val="Tab3FirstColNonGras"/>
              <w:rPr>
                <w:lang w:val="fr-FR"/>
              </w:rPr>
            </w:pPr>
            <w:r>
              <w:rPr>
                <w:lang w:val="fr-FR"/>
              </w:rPr>
              <w:t>HP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385E93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3502AA3" w14:textId="77777777">
            <w:pPr>
              <w:pStyle w:val="Tab3MiddleColNonGras"/>
              <w:rPr>
                <w:lang w:val="fr-FR"/>
              </w:rPr>
            </w:pPr>
            <w:r>
              <w:rPr>
                <w:lang w:val="fr-FR"/>
              </w:rPr>
              <w:t>2 315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5807247" w14:textId="77777777">
            <w:pPr>
              <w:pStyle w:val="Tab3MiddleColNonGras"/>
              <w:rPr>
                <w:lang w:val="fr-FR"/>
              </w:rPr>
            </w:pPr>
            <w:r>
              <w:rPr>
                <w:lang w:val="fr-FR"/>
              </w:rPr>
              <w:t>56 624,90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BACD713" w14:textId="77777777">
            <w:pPr>
              <w:pStyle w:val="Tab3LastColNonGras"/>
              <w:rPr>
                <w:lang w:val="fr-FR"/>
              </w:rPr>
            </w:pPr>
            <w:r>
              <w:rPr>
                <w:lang w:val="fr-FR"/>
              </w:rPr>
              <w:t>0,02</w:t>
            </w:r>
          </w:p>
        </w:tc>
      </w:tr>
      <w:tr w14:paraId="6111E3B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0AD9B3C" w14:textId="77777777">
            <w:pPr>
              <w:pStyle w:val="Tab3FirstColNonGras"/>
              <w:rPr>
                <w:lang w:val="fr-FR"/>
              </w:rPr>
            </w:pPr>
            <w:r>
              <w:rPr>
                <w:lang w:val="fr-FR"/>
              </w:rPr>
              <w:t>INTL BUSINESS MACHINES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F2914F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615AB69" w14:textId="77777777">
            <w:pPr>
              <w:pStyle w:val="Tab3MiddleColNonGras"/>
              <w:rPr>
                <w:lang w:val="fr-FR"/>
              </w:rPr>
            </w:pPr>
            <w:r>
              <w:rPr>
                <w:lang w:val="fr-FR"/>
              </w:rPr>
              <w:t>11 441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85D9BA8" w14:textId="77777777">
            <w:pPr>
              <w:pStyle w:val="Tab3MiddleColNonGras"/>
              <w:rPr>
                <w:lang w:val="fr-FR"/>
              </w:rPr>
            </w:pPr>
            <w:r>
              <w:rPr>
                <w:lang w:val="fr-FR"/>
              </w:rPr>
              <w:t>3 372 577,98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A2964EE" w14:textId="77777777">
            <w:pPr>
              <w:pStyle w:val="Tab3LastColNonGras"/>
              <w:rPr>
                <w:lang w:val="fr-FR"/>
              </w:rPr>
            </w:pPr>
            <w:r>
              <w:rPr>
                <w:lang w:val="fr-FR"/>
              </w:rPr>
              <w:t>0,97</w:t>
            </w:r>
          </w:p>
        </w:tc>
      </w:tr>
      <w:tr w14:paraId="76A2CF3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658BFFE" w14:textId="77777777">
            <w:pPr>
              <w:pStyle w:val="Tab3FirstColNonGras"/>
              <w:rPr>
                <w:lang w:val="fr-FR"/>
              </w:rPr>
            </w:pPr>
            <w:r>
              <w:rPr>
                <w:lang w:val="fr-FR"/>
              </w:rPr>
              <w:t>LOGITECH INTERNATIONAL-REG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5CA19B7"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5493BEE" w14:textId="77777777">
            <w:pPr>
              <w:pStyle w:val="Tab3MiddleColNonGras"/>
              <w:rPr>
                <w:lang w:val="fr-FR"/>
              </w:rPr>
            </w:pPr>
            <w:r>
              <w:rPr>
                <w:lang w:val="fr-FR"/>
              </w:rPr>
              <w:t>1 803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58CC0A5" w14:textId="77777777">
            <w:pPr>
              <w:pStyle w:val="Tab3MiddleColNonGras"/>
              <w:rPr>
                <w:lang w:val="fr-FR"/>
              </w:rPr>
            </w:pPr>
            <w:r>
              <w:rPr>
                <w:lang w:val="fr-FR"/>
              </w:rPr>
              <w:t>161 822,98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3C77A11" w14:textId="77777777">
            <w:pPr>
              <w:pStyle w:val="Tab3LastColNonGras"/>
              <w:rPr>
                <w:lang w:val="fr-FR"/>
              </w:rPr>
            </w:pPr>
            <w:r>
              <w:rPr>
                <w:lang w:val="fr-FR"/>
              </w:rPr>
              <w:t>0,05</w:t>
            </w:r>
          </w:p>
        </w:tc>
      </w:tr>
      <w:tr w14:paraId="4C6EF08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EF55B08" w14:textId="77777777">
            <w:pPr>
              <w:pStyle w:val="Tab3FirstColNonGras"/>
              <w:rPr>
                <w:lang w:val="fr-FR"/>
              </w:rPr>
            </w:pPr>
            <w:r>
              <w:rPr>
                <w:lang w:val="fr-FR"/>
              </w:rPr>
              <w:t>NETAPP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5B2362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0D3128A" w14:textId="77777777">
            <w:pPr>
              <w:pStyle w:val="Tab3MiddleColNonGras"/>
              <w:rPr>
                <w:lang w:val="fr-FR"/>
              </w:rPr>
            </w:pPr>
            <w:r>
              <w:rPr>
                <w:lang w:val="fr-FR"/>
              </w:rPr>
              <w:t>2 331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C7AF25A" w14:textId="77777777">
            <w:pPr>
              <w:pStyle w:val="Tab3MiddleColNonGras"/>
              <w:rPr>
                <w:lang w:val="fr-FR"/>
              </w:rPr>
            </w:pPr>
            <w:r>
              <w:rPr>
                <w:lang w:val="fr-FR"/>
              </w:rPr>
              <w:t>248 368,05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3B045B4" w14:textId="77777777">
            <w:pPr>
              <w:pStyle w:val="Tab3LastColNonGras"/>
              <w:rPr>
                <w:lang w:val="fr-FR"/>
              </w:rPr>
            </w:pPr>
            <w:r>
              <w:rPr>
                <w:lang w:val="fr-FR"/>
              </w:rPr>
              <w:t>0,07</w:t>
            </w:r>
          </w:p>
        </w:tc>
      </w:tr>
      <w:tr w14:paraId="746F9E3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570DE7F8" w14:textId="77777777">
            <w:pPr>
              <w:pStyle w:val="Tab3FirstColNonGras"/>
              <w:rPr>
                <w:lang w:val="en-US"/>
              </w:rPr>
            </w:pPr>
            <w:r w:rsidRPr="00D61EB0">
              <w:rPr>
                <w:lang w:val="en-US"/>
              </w:rPr>
              <w:t>PURE STORAGE INC - 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B89042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27093E5" w14:textId="77777777">
            <w:pPr>
              <w:pStyle w:val="Tab3MiddleColNonGras"/>
              <w:rPr>
                <w:lang w:val="fr-FR"/>
              </w:rPr>
            </w:pPr>
            <w:r>
              <w:rPr>
                <w:lang w:val="fr-FR"/>
              </w:rPr>
              <w:t>2 955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3E6A896" w14:textId="77777777">
            <w:pPr>
              <w:pStyle w:val="Tab3MiddleColNonGras"/>
              <w:rPr>
                <w:lang w:val="fr-FR"/>
              </w:rPr>
            </w:pPr>
            <w:r>
              <w:rPr>
                <w:lang w:val="fr-FR"/>
              </w:rPr>
              <w:t>170 148,90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2DE47A7" w14:textId="77777777">
            <w:pPr>
              <w:pStyle w:val="Tab3LastColNonGras"/>
              <w:rPr>
                <w:lang w:val="fr-FR"/>
              </w:rPr>
            </w:pPr>
            <w:r>
              <w:rPr>
                <w:lang w:val="fr-FR"/>
              </w:rPr>
              <w:t>0,05</w:t>
            </w:r>
          </w:p>
        </w:tc>
      </w:tr>
      <w:tr w14:paraId="57791E1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916A2C9" w14:textId="77777777">
            <w:pPr>
              <w:pStyle w:val="Tab3FirstColNonGras"/>
              <w:rPr>
                <w:lang w:val="fr-FR"/>
              </w:rPr>
            </w:pPr>
            <w:r>
              <w:rPr>
                <w:lang w:val="fr-FR"/>
              </w:rPr>
              <w:t>RICOH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46FF95E"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6BE9133" w14:textId="77777777">
            <w:pPr>
              <w:pStyle w:val="Tab3MiddleColNonGras"/>
              <w:rPr>
                <w:lang w:val="fr-FR"/>
              </w:rPr>
            </w:pPr>
            <w:r>
              <w:rPr>
                <w:lang w:val="fr-FR"/>
              </w:rPr>
              <w:t>1 500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7D5035B" w14:textId="77777777">
            <w:pPr>
              <w:pStyle w:val="Tab3MiddleColNonGras"/>
              <w:rPr>
                <w:lang w:val="fr-FR"/>
              </w:rPr>
            </w:pPr>
            <w:r>
              <w:rPr>
                <w:lang w:val="fr-FR"/>
              </w:rPr>
              <w:t>14 180,14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1EE8BE2" w14:textId="77777777">
            <w:pPr>
              <w:pStyle w:val="Tab3LastColNonGras"/>
              <w:rPr>
                <w:lang w:val="fr-FR"/>
              </w:rPr>
            </w:pPr>
            <w:r>
              <w:rPr>
                <w:lang w:val="fr-FR"/>
              </w:rPr>
              <w:t>0,00</w:t>
            </w:r>
          </w:p>
        </w:tc>
      </w:tr>
      <w:tr w14:paraId="2B99028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C833828" w14:textId="77777777">
            <w:pPr>
              <w:pStyle w:val="Tab3FirstColNonGras"/>
              <w:rPr>
                <w:lang w:val="fr-FR"/>
              </w:rPr>
            </w:pPr>
            <w:r>
              <w:rPr>
                <w:lang w:val="fr-FR"/>
              </w:rPr>
              <w:t>SEAGATE TECHNOLOGY HOLDINGS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10E496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C2292FE" w14:textId="77777777">
            <w:pPr>
              <w:pStyle w:val="Tab3MiddleColNonGras"/>
              <w:rPr>
                <w:lang w:val="fr-FR"/>
              </w:rPr>
            </w:pPr>
            <w:r>
              <w:rPr>
                <w:lang w:val="fr-FR"/>
              </w:rPr>
              <w:t>1 821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56DD1F2" w14:textId="77777777">
            <w:pPr>
              <w:pStyle w:val="Tab3MiddleColNonGras"/>
              <w:rPr>
                <w:lang w:val="fr-FR"/>
              </w:rPr>
            </w:pPr>
            <w:r>
              <w:rPr>
                <w:lang w:val="fr-FR"/>
              </w:rPr>
              <w:t>262 824,93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11C092F" w14:textId="77777777">
            <w:pPr>
              <w:pStyle w:val="Tab3LastColNonGras"/>
              <w:rPr>
                <w:lang w:val="fr-FR"/>
              </w:rPr>
            </w:pPr>
            <w:r>
              <w:rPr>
                <w:lang w:val="fr-FR"/>
              </w:rPr>
              <w:t>0,08</w:t>
            </w:r>
          </w:p>
        </w:tc>
      </w:tr>
      <w:tr w14:paraId="7C135D1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801CBB5" w14:textId="77777777">
            <w:pPr>
              <w:pStyle w:val="Tab3FirstColNonGras"/>
              <w:rPr>
                <w:lang w:val="fr-FR"/>
              </w:rPr>
            </w:pPr>
            <w:r>
              <w:rPr>
                <w:lang w:val="fr-FR"/>
              </w:rPr>
              <w:t>TE CONNECTIVITY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7F0B09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7B44EAB" w14:textId="77777777">
            <w:pPr>
              <w:pStyle w:val="Tab3MiddleColNonGras"/>
              <w:rPr>
                <w:lang w:val="fr-FR"/>
              </w:rPr>
            </w:pPr>
            <w:r>
              <w:rPr>
                <w:lang w:val="fr-FR"/>
              </w:rPr>
              <w:t>2 933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B3AA6D2" w14:textId="77777777">
            <w:pPr>
              <w:pStyle w:val="Tab3MiddleColNonGras"/>
              <w:rPr>
                <w:lang w:val="fr-FR"/>
              </w:rPr>
            </w:pPr>
            <w:r>
              <w:rPr>
                <w:lang w:val="fr-FR"/>
              </w:rPr>
              <w:t>494 709,11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41EC90B" w14:textId="77777777">
            <w:pPr>
              <w:pStyle w:val="Tab3LastColNonGras"/>
              <w:rPr>
                <w:lang w:val="fr-FR"/>
              </w:rPr>
            </w:pPr>
            <w:r>
              <w:rPr>
                <w:lang w:val="fr-FR"/>
              </w:rPr>
              <w:t>0,14</w:t>
            </w:r>
          </w:p>
        </w:tc>
      </w:tr>
      <w:tr w14:paraId="5FE10F4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DE85BF6" w14:textId="77777777">
            <w:pPr>
              <w:pStyle w:val="Tab3FirstColNonGras"/>
              <w:rPr>
                <w:lang w:val="fr-FR"/>
              </w:rPr>
            </w:pPr>
            <w:r>
              <w:rPr>
                <w:lang w:val="fr-FR"/>
              </w:rPr>
              <w:t>WESTERN DIGITAL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61C9CD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2B9F851" w14:textId="77777777">
            <w:pPr>
              <w:pStyle w:val="Tab3MiddleColNonGras"/>
              <w:rPr>
                <w:lang w:val="fr-FR"/>
              </w:rPr>
            </w:pPr>
            <w:r>
              <w:rPr>
                <w:lang w:val="fr-FR"/>
              </w:rPr>
              <w:t>2 888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377F9D8" w14:textId="77777777">
            <w:pPr>
              <w:pStyle w:val="Tab3MiddleColNonGras"/>
              <w:rPr>
                <w:lang w:val="fr-FR"/>
              </w:rPr>
            </w:pPr>
            <w:r>
              <w:rPr>
                <w:lang w:val="fr-FR"/>
              </w:rPr>
              <w:t>184 803,12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CB892B5" w14:textId="77777777">
            <w:pPr>
              <w:pStyle w:val="Tab3LastColNonGras"/>
              <w:rPr>
                <w:lang w:val="fr-FR"/>
              </w:rPr>
            </w:pPr>
            <w:r>
              <w:rPr>
                <w:lang w:val="fr-FR"/>
              </w:rPr>
              <w:t>0,05</w:t>
            </w:r>
          </w:p>
        </w:tc>
      </w:tr>
      <w:tr w14:paraId="5A54FA5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58141BB7" w14:textId="77777777">
            <w:pPr>
              <w:pStyle w:val="Tab1FirstColGras"/>
              <w:rPr>
                <w:lang w:val="fr-FR"/>
              </w:rPr>
            </w:pPr>
            <w:r>
              <w:rPr>
                <w:lang w:val="fr-FR"/>
              </w:rPr>
              <w:t>Outils et services appliqués aux sciences biologiques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16781E2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929ED3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787DA35A" w14:textId="77777777">
            <w:pPr>
              <w:pStyle w:val="Tab1MiddleColGras"/>
              <w:rPr>
                <w:lang w:val="fr-FR"/>
              </w:rPr>
            </w:pPr>
            <w:r>
              <w:rPr>
                <w:lang w:val="fr-FR"/>
              </w:rPr>
              <w:t>3 256 558,46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6F0AE22" w14:textId="77777777">
            <w:pPr>
              <w:pStyle w:val="Tab1LastColGras"/>
              <w:rPr>
                <w:lang w:val="fr-FR"/>
              </w:rPr>
            </w:pPr>
            <w:r>
              <w:rPr>
                <w:lang w:val="fr-FR"/>
              </w:rPr>
              <w:t>0,94</w:t>
            </w:r>
          </w:p>
        </w:tc>
      </w:tr>
      <w:tr w14:paraId="5EA5668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91480A0" w14:textId="77777777">
            <w:pPr>
              <w:pStyle w:val="Tab3FirstColNonGras"/>
              <w:rPr>
                <w:lang w:val="fr-FR"/>
              </w:rPr>
            </w:pPr>
            <w:r>
              <w:rPr>
                <w:lang w:val="fr-FR"/>
              </w:rPr>
              <w:t>AGILENT TECHNOLOGIES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297234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B309077" w14:textId="77777777">
            <w:pPr>
              <w:pStyle w:val="Tab3MiddleColNonGras"/>
              <w:rPr>
                <w:lang w:val="fr-FR"/>
              </w:rPr>
            </w:pPr>
            <w:r>
              <w:rPr>
                <w:lang w:val="fr-FR"/>
              </w:rPr>
              <w:t>3 243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122F7E1" w14:textId="77777777">
            <w:pPr>
              <w:pStyle w:val="Tab3MiddleColNonGras"/>
              <w:rPr>
                <w:lang w:val="fr-FR"/>
              </w:rPr>
            </w:pPr>
            <w:r>
              <w:rPr>
                <w:lang w:val="fr-FR"/>
              </w:rPr>
              <w:t>382 706,43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58C33A1" w14:textId="77777777">
            <w:pPr>
              <w:pStyle w:val="Tab3LastColNonGras"/>
              <w:rPr>
                <w:lang w:val="fr-FR"/>
              </w:rPr>
            </w:pPr>
            <w:r>
              <w:rPr>
                <w:lang w:val="fr-FR"/>
              </w:rPr>
              <w:t>0,11</w:t>
            </w:r>
          </w:p>
        </w:tc>
      </w:tr>
      <w:tr w14:paraId="29CE2ED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A5A3EF4" w14:textId="77777777">
            <w:pPr>
              <w:pStyle w:val="Tab3FirstColNonGras"/>
              <w:rPr>
                <w:lang w:val="fr-FR"/>
              </w:rPr>
            </w:pPr>
            <w:r>
              <w:rPr>
                <w:lang w:val="fr-FR"/>
              </w:rPr>
              <w:t>DANAHER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32DD32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00B82EC" w14:textId="77777777">
            <w:pPr>
              <w:pStyle w:val="Tab3MiddleColNonGras"/>
              <w:rPr>
                <w:lang w:val="fr-FR"/>
              </w:rPr>
            </w:pPr>
            <w:r>
              <w:rPr>
                <w:lang w:val="fr-FR"/>
              </w:rPr>
              <w:t>7 383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4AA7132" w14:textId="77777777">
            <w:pPr>
              <w:pStyle w:val="Tab3MiddleColNonGras"/>
              <w:rPr>
                <w:lang w:val="fr-FR"/>
              </w:rPr>
            </w:pPr>
            <w:r>
              <w:rPr>
                <w:lang w:val="fr-FR"/>
              </w:rPr>
              <w:t>1 458 437,82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9C586B8" w14:textId="77777777">
            <w:pPr>
              <w:pStyle w:val="Tab3LastColNonGras"/>
              <w:rPr>
                <w:lang w:val="fr-FR"/>
              </w:rPr>
            </w:pPr>
            <w:r>
              <w:rPr>
                <w:lang w:val="fr-FR"/>
              </w:rPr>
              <w:t>0,41</w:t>
            </w:r>
          </w:p>
        </w:tc>
      </w:tr>
      <w:tr w14:paraId="5C5ABCE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5E7BA75" w14:textId="77777777">
            <w:pPr>
              <w:pStyle w:val="Tab3FirstColNonGras"/>
              <w:rPr>
                <w:lang w:val="fr-FR"/>
              </w:rPr>
            </w:pPr>
            <w:r>
              <w:rPr>
                <w:lang w:val="fr-FR"/>
              </w:rPr>
              <w:t>EUROFINS SCIENTIFIC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5E8F7D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579BF90" w14:textId="77777777">
            <w:pPr>
              <w:pStyle w:val="Tab3MiddleColNonGras"/>
              <w:rPr>
                <w:lang w:val="fr-FR"/>
              </w:rPr>
            </w:pPr>
            <w:r>
              <w:rPr>
                <w:lang w:val="fr-FR"/>
              </w:rPr>
              <w:t>1 414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AB6CED4" w14:textId="77777777">
            <w:pPr>
              <w:pStyle w:val="Tab3MiddleColNonGras"/>
              <w:rPr>
                <w:lang w:val="fr-FR"/>
              </w:rPr>
            </w:pPr>
            <w:r>
              <w:rPr>
                <w:lang w:val="fr-FR"/>
              </w:rPr>
              <w:t>100 319,76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2297ADA" w14:textId="77777777">
            <w:pPr>
              <w:pStyle w:val="Tab3LastColNonGras"/>
              <w:rPr>
                <w:lang w:val="fr-FR"/>
              </w:rPr>
            </w:pPr>
            <w:r>
              <w:rPr>
                <w:lang w:val="fr-FR"/>
              </w:rPr>
              <w:t>0,03</w:t>
            </w:r>
          </w:p>
        </w:tc>
      </w:tr>
      <w:tr w14:paraId="17CC623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00D1314" w14:textId="77777777">
            <w:pPr>
              <w:pStyle w:val="Tab3FirstColNonGras"/>
              <w:rPr>
                <w:lang w:val="fr-FR"/>
              </w:rPr>
            </w:pPr>
            <w:r>
              <w:rPr>
                <w:lang w:val="fr-FR"/>
              </w:rPr>
              <w:t>ILLUMINA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0A1AC1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5542003" w14:textId="77777777">
            <w:pPr>
              <w:pStyle w:val="Tab3MiddleColNonGras"/>
              <w:rPr>
                <w:lang w:val="fr-FR"/>
              </w:rPr>
            </w:pPr>
            <w:r>
              <w:rPr>
                <w:lang w:val="fr-FR"/>
              </w:rPr>
              <w:t>1 678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75CE044" w14:textId="77777777">
            <w:pPr>
              <w:pStyle w:val="Tab3MiddleColNonGras"/>
              <w:rPr>
                <w:lang w:val="fr-FR"/>
              </w:rPr>
            </w:pPr>
            <w:r>
              <w:rPr>
                <w:lang w:val="fr-FR"/>
              </w:rPr>
              <w:t>160 097,98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1146DFD" w14:textId="77777777">
            <w:pPr>
              <w:pStyle w:val="Tab3LastColNonGras"/>
              <w:rPr>
                <w:lang w:val="fr-FR"/>
              </w:rPr>
            </w:pPr>
            <w:r>
              <w:rPr>
                <w:lang w:val="fr-FR"/>
              </w:rPr>
              <w:t>0,05</w:t>
            </w:r>
          </w:p>
        </w:tc>
      </w:tr>
      <w:tr w14:paraId="52CEE24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6E0D9FC" w14:textId="77777777">
            <w:pPr>
              <w:pStyle w:val="Tab3FirstColNonGras"/>
              <w:rPr>
                <w:lang w:val="fr-FR"/>
              </w:rPr>
            </w:pPr>
            <w:r>
              <w:rPr>
                <w:lang w:val="fr-FR"/>
              </w:rPr>
              <w:t>IQVIA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B1751A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8A3EA27" w14:textId="77777777">
            <w:pPr>
              <w:pStyle w:val="Tab3MiddleColNonGras"/>
              <w:rPr>
                <w:lang w:val="fr-FR"/>
              </w:rPr>
            </w:pPr>
            <w:r>
              <w:rPr>
                <w:lang w:val="fr-FR"/>
              </w:rPr>
              <w:t>2 154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35AB163" w14:textId="77777777">
            <w:pPr>
              <w:pStyle w:val="Tab3MiddleColNonGras"/>
              <w:rPr>
                <w:lang w:val="fr-FR"/>
              </w:rPr>
            </w:pPr>
            <w:r>
              <w:rPr>
                <w:lang w:val="fr-FR"/>
              </w:rPr>
              <w:t>339 448,86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953E6EC" w14:textId="77777777">
            <w:pPr>
              <w:pStyle w:val="Tab3LastColNonGras"/>
              <w:rPr>
                <w:lang w:val="fr-FR"/>
              </w:rPr>
            </w:pPr>
            <w:r>
              <w:rPr>
                <w:lang w:val="fr-FR"/>
              </w:rPr>
              <w:t>0,10</w:t>
            </w:r>
          </w:p>
        </w:tc>
      </w:tr>
      <w:tr w14:paraId="2FF63EC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5CB588A" w14:textId="77777777">
            <w:pPr>
              <w:pStyle w:val="Tab3FirstColNonGras"/>
              <w:rPr>
                <w:lang w:val="fr-FR"/>
              </w:rPr>
            </w:pPr>
            <w:r>
              <w:rPr>
                <w:lang w:val="fr-FR"/>
              </w:rPr>
              <w:t>METTLER-TOLEDO INTERNATIONAL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510A06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9E6ED22" w14:textId="77777777">
            <w:pPr>
              <w:pStyle w:val="Tab3MiddleColNonGras"/>
              <w:rPr>
                <w:lang w:val="fr-FR"/>
              </w:rPr>
            </w:pPr>
            <w:r>
              <w:rPr>
                <w:lang w:val="fr-FR"/>
              </w:rPr>
              <w:t>233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B23F70A" w14:textId="77777777">
            <w:pPr>
              <w:pStyle w:val="Tab3MiddleColNonGras"/>
              <w:rPr>
                <w:lang w:val="fr-FR"/>
              </w:rPr>
            </w:pPr>
            <w:r>
              <w:rPr>
                <w:lang w:val="fr-FR"/>
              </w:rPr>
              <w:t>273 709,76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DC8EB43" w14:textId="77777777">
            <w:pPr>
              <w:pStyle w:val="Tab3LastColNonGras"/>
              <w:rPr>
                <w:lang w:val="fr-FR"/>
              </w:rPr>
            </w:pPr>
            <w:r>
              <w:rPr>
                <w:lang w:val="fr-FR"/>
              </w:rPr>
              <w:t>0,08</w:t>
            </w:r>
          </w:p>
        </w:tc>
      </w:tr>
      <w:tr w14:paraId="2292AEA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4D27504" w14:textId="77777777">
            <w:pPr>
              <w:pStyle w:val="Tab3FirstColNonGras"/>
              <w:rPr>
                <w:lang w:val="fr-FR"/>
              </w:rPr>
            </w:pPr>
            <w:r>
              <w:rPr>
                <w:lang w:val="fr-FR"/>
              </w:rPr>
              <w:t>QIAGEN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8DFDA7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ECBFF88" w14:textId="77777777">
            <w:pPr>
              <w:pStyle w:val="Tab3MiddleColNonGras"/>
              <w:rPr>
                <w:lang w:val="fr-FR"/>
              </w:rPr>
            </w:pPr>
            <w:r>
              <w:rPr>
                <w:lang w:val="fr-FR"/>
              </w:rPr>
              <w:t>3 203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317067C" w14:textId="77777777">
            <w:pPr>
              <w:pStyle w:val="Tab3MiddleColNonGras"/>
              <w:rPr>
                <w:lang w:val="fr-FR"/>
              </w:rPr>
            </w:pPr>
            <w:r>
              <w:rPr>
                <w:lang w:val="fr-FR"/>
              </w:rPr>
              <w:t>153 721,13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560831C" w14:textId="77777777">
            <w:pPr>
              <w:pStyle w:val="Tab3LastColNonGras"/>
              <w:rPr>
                <w:lang w:val="fr-FR"/>
              </w:rPr>
            </w:pPr>
            <w:r>
              <w:rPr>
                <w:lang w:val="fr-FR"/>
              </w:rPr>
              <w:t>0,04</w:t>
            </w:r>
          </w:p>
        </w:tc>
      </w:tr>
      <w:tr w14:paraId="4AB6BB7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04207B7" w14:textId="77777777">
            <w:pPr>
              <w:pStyle w:val="Tab3FirstColNonGras"/>
              <w:rPr>
                <w:lang w:val="fr-FR"/>
              </w:rPr>
            </w:pPr>
            <w:r>
              <w:rPr>
                <w:lang w:val="fr-FR"/>
              </w:rPr>
              <w:t>REVVITY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02EDE4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1125217" w14:textId="77777777">
            <w:pPr>
              <w:pStyle w:val="Tab3MiddleColNonGras"/>
              <w:rPr>
                <w:lang w:val="fr-FR"/>
              </w:rPr>
            </w:pPr>
            <w:r>
              <w:rPr>
                <w:lang w:val="fr-FR"/>
              </w:rPr>
              <w:t>1 631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6E3FF58" w14:textId="77777777">
            <w:pPr>
              <w:pStyle w:val="Tab3MiddleColNonGras"/>
              <w:rPr>
                <w:lang w:val="fr-FR"/>
              </w:rPr>
            </w:pPr>
            <w:r>
              <w:rPr>
                <w:lang w:val="fr-FR"/>
              </w:rPr>
              <w:t>157 750,32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3C79547" w14:textId="77777777">
            <w:pPr>
              <w:pStyle w:val="Tab3LastColNonGras"/>
              <w:rPr>
                <w:lang w:val="fr-FR"/>
              </w:rPr>
            </w:pPr>
            <w:r>
              <w:rPr>
                <w:lang w:val="fr-FR"/>
              </w:rPr>
              <w:t>0,05</w:t>
            </w:r>
          </w:p>
        </w:tc>
      </w:tr>
      <w:tr w14:paraId="74EB218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F432CBB" w14:textId="77777777">
            <w:pPr>
              <w:pStyle w:val="Tab3FirstColNonGras"/>
              <w:rPr>
                <w:lang w:val="fr-FR"/>
              </w:rPr>
            </w:pPr>
            <w:r>
              <w:rPr>
                <w:lang w:val="fr-FR"/>
              </w:rPr>
              <w:t>WATERS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F17F3F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4F782D4" w14:textId="77777777">
            <w:pPr>
              <w:pStyle w:val="Tab3MiddleColNonGras"/>
              <w:rPr>
                <w:lang w:val="fr-FR"/>
              </w:rPr>
            </w:pPr>
            <w:r>
              <w:rPr>
                <w:lang w:val="fr-FR"/>
              </w:rPr>
              <w:t>660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662E404" w14:textId="77777777">
            <w:pPr>
              <w:pStyle w:val="Tab3MiddleColNonGras"/>
              <w:rPr>
                <w:lang w:val="fr-FR"/>
              </w:rPr>
            </w:pPr>
            <w:r>
              <w:rPr>
                <w:lang w:val="fr-FR"/>
              </w:rPr>
              <w:t>230 366,40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AD267F5" w14:textId="77777777">
            <w:pPr>
              <w:pStyle w:val="Tab3LastColNonGras"/>
              <w:rPr>
                <w:lang w:val="fr-FR"/>
              </w:rPr>
            </w:pPr>
            <w:r>
              <w:rPr>
                <w:lang w:val="fr-FR"/>
              </w:rPr>
              <w:t>0,07</w:t>
            </w:r>
          </w:p>
        </w:tc>
      </w:tr>
      <w:tr w14:paraId="6B1C5B6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7B723E3C" w14:textId="77777777">
            <w:pPr>
              <w:pStyle w:val="Tab1FirstColGras"/>
              <w:rPr>
                <w:lang w:val="fr-FR"/>
              </w:rPr>
            </w:pPr>
            <w:r>
              <w:rPr>
                <w:lang w:val="fr-FR"/>
              </w:rPr>
              <w:t>Papier et industrie du bois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68CA9049"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3E0E308A"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4168E6D0" w14:textId="77777777">
            <w:pPr>
              <w:pStyle w:val="Tab1MiddleColGras"/>
              <w:rPr>
                <w:lang w:val="fr-FR"/>
              </w:rPr>
            </w:pPr>
            <w:r>
              <w:rPr>
                <w:lang w:val="fr-FR"/>
              </w:rPr>
              <w:t>34 608,24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06B9ABE" w14:textId="77777777">
            <w:pPr>
              <w:pStyle w:val="Tab1LastColGras"/>
              <w:rPr>
                <w:lang w:val="fr-FR"/>
              </w:rPr>
            </w:pPr>
            <w:r>
              <w:rPr>
                <w:lang w:val="fr-FR"/>
              </w:rPr>
              <w:t>0,01</w:t>
            </w:r>
          </w:p>
        </w:tc>
      </w:tr>
      <w:tr w14:paraId="3A612EC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9EBDD08" w14:textId="77777777">
            <w:pPr>
              <w:pStyle w:val="Tab3FirstColNonGras"/>
              <w:rPr>
                <w:lang w:val="fr-FR"/>
              </w:rPr>
            </w:pPr>
            <w:r>
              <w:rPr>
                <w:lang w:val="fr-FR"/>
              </w:rPr>
              <w:t>UPM-KYMMENE OYJ</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88B488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26B68D3" w14:textId="77777777">
            <w:pPr>
              <w:pStyle w:val="Tab3MiddleColNonGras"/>
              <w:rPr>
                <w:lang w:val="fr-FR"/>
              </w:rPr>
            </w:pPr>
            <w:r>
              <w:rPr>
                <w:lang w:val="fr-FR"/>
              </w:rPr>
              <w:t>1 273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DA11614" w14:textId="77777777">
            <w:pPr>
              <w:pStyle w:val="Tab3MiddleColNonGras"/>
              <w:rPr>
                <w:lang w:val="fr-FR"/>
              </w:rPr>
            </w:pPr>
            <w:r>
              <w:rPr>
                <w:lang w:val="fr-FR"/>
              </w:rPr>
              <w:t>34 608,24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7D8FCA5" w14:textId="77777777">
            <w:pPr>
              <w:pStyle w:val="Tab3LastColNonGras"/>
              <w:rPr>
                <w:lang w:val="fr-FR"/>
              </w:rPr>
            </w:pPr>
            <w:r>
              <w:rPr>
                <w:lang w:val="fr-FR"/>
              </w:rPr>
              <w:t>0,01</w:t>
            </w:r>
          </w:p>
        </w:tc>
      </w:tr>
      <w:tr w14:paraId="543FD00E"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3D4BF377" w14:textId="77777777">
            <w:pPr>
              <w:pStyle w:val="Tab1FirstColGras"/>
              <w:rPr>
                <w:lang w:val="fr-FR"/>
              </w:rPr>
            </w:pPr>
            <w:r>
              <w:rPr>
                <w:lang w:val="fr-FR"/>
              </w:rPr>
              <w:t>Producteur et commerce d'énergie indépendants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25C7E30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005DC310"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2810FAC8" w14:textId="77777777">
            <w:pPr>
              <w:pStyle w:val="Tab1MiddleColGras"/>
              <w:rPr>
                <w:lang w:val="fr-FR"/>
              </w:rPr>
            </w:pPr>
            <w:r>
              <w:rPr>
                <w:lang w:val="fr-FR"/>
              </w:rPr>
              <w:t>145 011,62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E718674" w14:textId="77777777">
            <w:pPr>
              <w:pStyle w:val="Tab1LastColGras"/>
              <w:rPr>
                <w:lang w:val="fr-FR"/>
              </w:rPr>
            </w:pPr>
            <w:r>
              <w:rPr>
                <w:lang w:val="fr-FR"/>
              </w:rPr>
              <w:t>0,04</w:t>
            </w:r>
          </w:p>
        </w:tc>
      </w:tr>
      <w:tr w14:paraId="0D881C5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F1D809B" w14:textId="77777777">
            <w:pPr>
              <w:pStyle w:val="Tab3FirstColNonGras"/>
              <w:rPr>
                <w:lang w:val="fr-FR"/>
              </w:rPr>
            </w:pPr>
            <w:r>
              <w:rPr>
                <w:lang w:val="fr-FR"/>
              </w:rPr>
              <w:t>EDP RENOVAVEIS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9DB73C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2F57F59" w14:textId="77777777">
            <w:pPr>
              <w:pStyle w:val="Tab3MiddleColNonGras"/>
              <w:rPr>
                <w:lang w:val="fr-FR"/>
              </w:rPr>
            </w:pPr>
            <w:r>
              <w:rPr>
                <w:lang w:val="fr-FR"/>
              </w:rPr>
              <w:t>13 038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F233BF1" w14:textId="77777777">
            <w:pPr>
              <w:pStyle w:val="Tab3MiddleColNonGras"/>
              <w:rPr>
                <w:lang w:val="fr-FR"/>
              </w:rPr>
            </w:pPr>
            <w:r>
              <w:rPr>
                <w:lang w:val="fr-FR"/>
              </w:rPr>
              <w:t>145 011,62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5BF78C0" w14:textId="77777777">
            <w:pPr>
              <w:pStyle w:val="Tab3LastColNonGras"/>
              <w:rPr>
                <w:lang w:val="fr-FR"/>
              </w:rPr>
            </w:pPr>
            <w:r>
              <w:rPr>
                <w:lang w:val="fr-FR"/>
              </w:rPr>
              <w:t>0,04</w:t>
            </w:r>
          </w:p>
        </w:tc>
      </w:tr>
    </w:tbl>
    <w:p w:rsidR="001F4AEE" w14:paraId="39B31C9A" w14:textId="77777777">
      <w:pPr>
        <w:sectPr>
          <w:headerReference w:type="default" r:id="rId48"/>
          <w:footerReference w:type="default" r:id="rId49"/>
          <w:pgSz w:w="11900" w:h="16840"/>
          <w:pgMar w:top="2154" w:right="1134" w:bottom="1134" w:left="1134" w:header="400" w:footer="400" w:gutter="0"/>
          <w:cols w:space="720"/>
        </w:sectPr>
      </w:pPr>
    </w:p>
    <w:p w:rsidR="001F4AEE" w14:paraId="275D1D3C" w14:textId="77777777">
      <w:pPr>
        <w:spacing w:line="30" w:lineRule="exact"/>
        <w:rPr>
          <w:sz w:val="3"/>
        </w:rPr>
      </w:pPr>
    </w:p>
    <w:p w:rsidR="001F4AEE" w14:paraId="3A373FBE" w14:textId="77777777">
      <w:pPr>
        <w:pStyle w:val="TechnicalBookmark"/>
        <w:rPr>
          <w:lang w:val="fr-FR"/>
        </w:rPr>
      </w:pPr>
      <w:r>
        <w:rPr>
          <w:lang w:val="fr-FR"/>
        </w:rPr>
        <w:fldChar w:fldCharType="begin"/>
      </w:r>
      <w:r>
        <w:rPr>
          <w:lang w:val="fr-FR"/>
        </w:rPr>
        <w:instrText xml:space="preserve"> SET 8FCE5C123804A767B12912C31D52AF4B "" </w:instrText>
      </w:r>
      <w:r>
        <w:rPr>
          <w:lang w:val="fr-FR"/>
        </w:rPr>
        <w:fldChar w:fldCharType="separate"/>
      </w:r>
      <w:bookmarkStart w:id="104" w:name="8FCE5C123804A767B12912C31D52AF4B"/>
      <w:bookmarkEnd w:id="104"/>
      <w:r>
        <w:rPr>
          <w:lang w:val="fr-FR"/>
        </w:rPr>
        <w:fldChar w:fldCharType="end"/>
      </w:r>
    </w:p>
    <w:p w:rsidR="001F4AEE" w14:paraId="749537A8" w14:textId="77777777">
      <w:pPr>
        <w:pStyle w:val="H2"/>
        <w:rPr>
          <w:lang w:val="fr-FR"/>
        </w:rPr>
      </w:pPr>
      <w:r>
        <w:rPr>
          <w:lang w:val="fr-FR"/>
        </w:rPr>
        <w:t xml:space="preserve">Inventaire des éléments de bilan </w:t>
      </w:r>
    </w:p>
    <w:p w:rsidR="001F4AEE" w14:paraId="1B852DDB" w14:textId="77777777">
      <w:pPr>
        <w:pStyle w:val="NoRefToc"/>
        <w:rPr>
          <w:lang w:val="fr-FR"/>
        </w:rPr>
      </w:pPr>
    </w:p>
    <w:p w:rsidR="001F4AEE" w14:paraId="5F3CEDEB" w14:textId="77777777">
      <w:pPr>
        <w:pStyle w:val="TechnicalBookmark"/>
        <w:rPr>
          <w:lang w:val="fr-FR"/>
        </w:rPr>
      </w:pPr>
      <w:r>
        <w:rPr>
          <w:lang w:val="fr-FR"/>
        </w:rPr>
        <w:fldChar w:fldCharType="begin"/>
      </w:r>
      <w:r>
        <w:rPr>
          <w:lang w:val="fr-FR"/>
        </w:rPr>
        <w:instrText xml:space="preserve"> SET F011274207E1C35FDAFB825F48506A97 "" </w:instrText>
      </w:r>
      <w:r>
        <w:rPr>
          <w:lang w:val="fr-FR"/>
        </w:rPr>
        <w:fldChar w:fldCharType="separate"/>
      </w:r>
      <w:bookmarkStart w:id="105" w:name="F011274207E1C35FDAFB825F48506A97"/>
      <w:bookmarkEnd w:id="105"/>
      <w:r>
        <w:rPr>
          <w:lang w:val="fr-FR"/>
        </w:rPr>
        <w:fldChar w:fldCharType="end"/>
      </w:r>
    </w:p>
    <w:p w:rsidR="001F4AEE" w14:paraId="3F803586"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1D6D0C44"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349237C3"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687204C3"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792D8D45" w14:textId="77777777">
            <w:pPr>
              <w:pStyle w:val="EnteteTabMiddleColBordure"/>
              <w:spacing w:line="184" w:lineRule="exact"/>
              <w:rPr>
                <w:lang w:val="fr-FR"/>
              </w:rPr>
            </w:pPr>
            <w:r>
              <w:rPr>
                <w:lang w:val="fr-FR"/>
              </w:rPr>
              <w:t>Quantité ou</w:t>
            </w:r>
          </w:p>
          <w:p w:rsidR="001F4AEE" w14:paraId="63918780"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61082804"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10F41E96" w14:textId="77777777">
            <w:pPr>
              <w:pStyle w:val="EnteteTabLastColBordure"/>
              <w:spacing w:line="184" w:lineRule="exact"/>
              <w:rPr>
                <w:lang w:val="fr-FR"/>
              </w:rPr>
            </w:pPr>
            <w:r>
              <w:rPr>
                <w:lang w:val="fr-FR"/>
              </w:rPr>
              <w:t>% Actif</w:t>
            </w:r>
          </w:p>
          <w:p w:rsidR="001F4AEE" w14:paraId="00462102" w14:textId="77777777">
            <w:pPr>
              <w:pStyle w:val="EnteteTabLastColBordure"/>
              <w:spacing w:line="184" w:lineRule="exact"/>
              <w:rPr>
                <w:lang w:val="fr-FR"/>
              </w:rPr>
            </w:pPr>
            <w:r>
              <w:rPr>
                <w:lang w:val="fr-FR"/>
              </w:rPr>
              <w:t>Net</w:t>
            </w:r>
          </w:p>
        </w:tc>
      </w:tr>
      <w:tr w14:paraId="37BB08A0"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7B7C4B91" w14:textId="77777777">
            <w:pPr>
              <w:pStyle w:val="Tab1FirstColGras"/>
              <w:rPr>
                <w:lang w:val="fr-FR"/>
              </w:rPr>
            </w:pPr>
            <w:r>
              <w:rPr>
                <w:lang w:val="fr-FR"/>
              </w:rPr>
              <w:t>Produits alimentaires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6A6BF11C"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A0DADB1"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09CD3612" w14:textId="77777777">
            <w:pPr>
              <w:pStyle w:val="Tab1MiddleColGras"/>
              <w:rPr>
                <w:lang w:val="fr-FR"/>
              </w:rPr>
            </w:pPr>
            <w:r>
              <w:rPr>
                <w:lang w:val="fr-FR"/>
              </w:rPr>
              <w:t>1 576 065,41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0A0110E" w14:textId="77777777">
            <w:pPr>
              <w:pStyle w:val="Tab1LastColGras"/>
              <w:rPr>
                <w:lang w:val="fr-FR"/>
              </w:rPr>
            </w:pPr>
            <w:r>
              <w:rPr>
                <w:lang w:val="fr-FR"/>
              </w:rPr>
              <w:t>0,45</w:t>
            </w:r>
          </w:p>
        </w:tc>
      </w:tr>
      <w:tr w14:paraId="12F5465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D46A0FE" w14:textId="77777777">
            <w:pPr>
              <w:pStyle w:val="Tab3FirstColNonGras"/>
              <w:rPr>
                <w:lang w:val="fr-FR"/>
              </w:rPr>
            </w:pPr>
            <w:r>
              <w:rPr>
                <w:lang w:val="fr-FR"/>
              </w:rPr>
              <w:t>ARCHER DANIELS MID COM NPV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99AF2F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867942C" w14:textId="77777777">
            <w:pPr>
              <w:pStyle w:val="Tab3MiddleColNonGras"/>
              <w:rPr>
                <w:lang w:val="fr-FR"/>
              </w:rPr>
            </w:pPr>
            <w:r>
              <w:rPr>
                <w:lang w:val="fr-FR"/>
              </w:rPr>
              <w:t>1 497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8AC166F" w14:textId="77777777">
            <w:pPr>
              <w:pStyle w:val="Tab3MiddleColNonGras"/>
              <w:rPr>
                <w:lang w:val="fr-FR"/>
              </w:rPr>
            </w:pPr>
            <w:r>
              <w:rPr>
                <w:lang w:val="fr-FR"/>
              </w:rPr>
              <w:t>79 011,66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CE54783" w14:textId="77777777">
            <w:pPr>
              <w:pStyle w:val="Tab3LastColNonGras"/>
              <w:rPr>
                <w:lang w:val="fr-FR"/>
              </w:rPr>
            </w:pPr>
            <w:r>
              <w:rPr>
                <w:lang w:val="fr-FR"/>
              </w:rPr>
              <w:t>0,02</w:t>
            </w:r>
          </w:p>
        </w:tc>
      </w:tr>
      <w:tr w14:paraId="131188D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698DBC3" w14:textId="77777777">
            <w:pPr>
              <w:pStyle w:val="Tab3FirstColNonGras"/>
              <w:rPr>
                <w:lang w:val="fr-FR"/>
              </w:rPr>
            </w:pPr>
            <w:r>
              <w:rPr>
                <w:lang w:val="fr-FR"/>
              </w:rPr>
              <w:t>BARRY CALLEBAUT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133A55B"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55B3B8D" w14:textId="77777777">
            <w:pPr>
              <w:pStyle w:val="Tab3MiddleColNonGras"/>
              <w:rPr>
                <w:lang w:val="fr-FR"/>
              </w:rPr>
            </w:pPr>
            <w:r>
              <w:rPr>
                <w:lang w:val="fr-FR"/>
              </w:rPr>
              <w:t>11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8083923" w14:textId="77777777">
            <w:pPr>
              <w:pStyle w:val="Tab3MiddleColNonGras"/>
              <w:rPr>
                <w:lang w:val="fr-FR"/>
              </w:rPr>
            </w:pPr>
            <w:r>
              <w:rPr>
                <w:lang w:val="fr-FR"/>
              </w:rPr>
              <w:t>11 940,14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E84ADF0" w14:textId="77777777">
            <w:pPr>
              <w:pStyle w:val="Tab3LastColNonGras"/>
              <w:rPr>
                <w:lang w:val="fr-FR"/>
              </w:rPr>
            </w:pPr>
            <w:r>
              <w:rPr>
                <w:lang w:val="fr-FR"/>
              </w:rPr>
              <w:t>0,00</w:t>
            </w:r>
          </w:p>
        </w:tc>
      </w:tr>
      <w:tr w14:paraId="4F6CCE8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2BB3982" w14:textId="77777777">
            <w:pPr>
              <w:pStyle w:val="Tab3FirstColNonGras"/>
              <w:rPr>
                <w:lang w:val="fr-FR"/>
              </w:rPr>
            </w:pPr>
            <w:r>
              <w:rPr>
                <w:lang w:val="fr-FR"/>
              </w:rPr>
              <w:t>CHOCOLADEFABRIKEN LINDT-PC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399F9CF"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5113BE9" w14:textId="77777777">
            <w:pPr>
              <w:pStyle w:val="Tab3MiddleColNonGras"/>
              <w:rPr>
                <w:lang w:val="fr-FR"/>
              </w:rPr>
            </w:pPr>
            <w:r>
              <w:rPr>
                <w:lang w:val="fr-FR"/>
              </w:rPr>
              <w:t>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1343EF3" w14:textId="77777777">
            <w:pPr>
              <w:pStyle w:val="Tab3MiddleColNonGras"/>
              <w:rPr>
                <w:lang w:val="fr-FR"/>
              </w:rPr>
            </w:pPr>
            <w:r>
              <w:rPr>
                <w:lang w:val="fr-FR"/>
              </w:rPr>
              <w:t>150 947,80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C5FB9EF" w14:textId="77777777">
            <w:pPr>
              <w:pStyle w:val="Tab3LastColNonGras"/>
              <w:rPr>
                <w:lang w:val="fr-FR"/>
              </w:rPr>
            </w:pPr>
            <w:r>
              <w:rPr>
                <w:lang w:val="fr-FR"/>
              </w:rPr>
              <w:t>0,04</w:t>
            </w:r>
          </w:p>
        </w:tc>
      </w:tr>
      <w:tr w14:paraId="74F11C7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C3B0C0C" w14:textId="77777777">
            <w:pPr>
              <w:pStyle w:val="Tab3FirstColNonGras"/>
              <w:rPr>
                <w:lang w:val="fr-FR"/>
              </w:rPr>
            </w:pPr>
            <w:r>
              <w:rPr>
                <w:lang w:val="fr-FR"/>
              </w:rPr>
              <w:t>CHOCOLADEFABRIKEN LINDT-REG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049F264"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FE4AB7C" w14:textId="77777777">
            <w:pPr>
              <w:pStyle w:val="Tab3MiddleColNonGras"/>
              <w:rPr>
                <w:lang w:val="fr-FR"/>
              </w:rPr>
            </w:pPr>
            <w:r>
              <w:rPr>
                <w:lang w:val="fr-FR"/>
              </w:rPr>
              <w:t>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293A6FD" w14:textId="77777777">
            <w:pPr>
              <w:pStyle w:val="Tab3MiddleColNonGras"/>
              <w:rPr>
                <w:lang w:val="fr-FR"/>
              </w:rPr>
            </w:pPr>
            <w:r>
              <w:rPr>
                <w:lang w:val="fr-FR"/>
              </w:rPr>
              <w:t>166 086,55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57A03D0" w14:textId="77777777">
            <w:pPr>
              <w:pStyle w:val="Tab3LastColNonGras"/>
              <w:rPr>
                <w:lang w:val="fr-FR"/>
              </w:rPr>
            </w:pPr>
            <w:r>
              <w:rPr>
                <w:lang w:val="fr-FR"/>
              </w:rPr>
              <w:t>0,05</w:t>
            </w:r>
          </w:p>
        </w:tc>
      </w:tr>
      <w:tr w14:paraId="55AB15D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0DE4CF5" w14:textId="77777777">
            <w:pPr>
              <w:pStyle w:val="Tab3FirstColNonGras"/>
              <w:rPr>
                <w:lang w:val="fr-FR"/>
              </w:rPr>
            </w:pPr>
            <w:r>
              <w:rPr>
                <w:lang w:val="fr-FR"/>
              </w:rPr>
              <w:t>GENERAL MILLS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B3B4EB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D4771B0" w14:textId="77777777">
            <w:pPr>
              <w:pStyle w:val="Tab3MiddleColNonGras"/>
              <w:rPr>
                <w:lang w:val="fr-FR"/>
              </w:rPr>
            </w:pPr>
            <w:r>
              <w:rPr>
                <w:lang w:val="fr-FR"/>
              </w:rPr>
              <w:t>1 180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8E1310B" w14:textId="77777777">
            <w:pPr>
              <w:pStyle w:val="Tab3MiddleColNonGras"/>
              <w:rPr>
                <w:lang w:val="fr-FR"/>
              </w:rPr>
            </w:pPr>
            <w:r>
              <w:rPr>
                <w:lang w:val="fr-FR"/>
              </w:rPr>
              <w:t>61 135,80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2237777" w14:textId="77777777">
            <w:pPr>
              <w:pStyle w:val="Tab3LastColNonGras"/>
              <w:rPr>
                <w:lang w:val="fr-FR"/>
              </w:rPr>
            </w:pPr>
            <w:r>
              <w:rPr>
                <w:lang w:val="fr-FR"/>
              </w:rPr>
              <w:t>0,02</w:t>
            </w:r>
          </w:p>
        </w:tc>
      </w:tr>
      <w:tr w14:paraId="6AC9212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F713AC3" w14:textId="77777777">
            <w:pPr>
              <w:pStyle w:val="Tab3FirstColNonGras"/>
              <w:rPr>
                <w:lang w:val="fr-FR"/>
              </w:rPr>
            </w:pPr>
            <w:r>
              <w:rPr>
                <w:lang w:val="fr-FR"/>
              </w:rPr>
              <w:t>HERSHEY CO/THE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5E80F0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2953E42" w14:textId="77777777">
            <w:pPr>
              <w:pStyle w:val="Tab3MiddleColNonGras"/>
              <w:rPr>
                <w:lang w:val="fr-FR"/>
              </w:rPr>
            </w:pPr>
            <w:r>
              <w:rPr>
                <w:lang w:val="fr-FR"/>
              </w:rPr>
              <w:t>1 267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2824516" w14:textId="77777777">
            <w:pPr>
              <w:pStyle w:val="Tab3MiddleColNonGras"/>
              <w:rPr>
                <w:lang w:val="fr-FR"/>
              </w:rPr>
            </w:pPr>
            <w:r>
              <w:rPr>
                <w:lang w:val="fr-FR"/>
              </w:rPr>
              <w:t>210 258,65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AA15867" w14:textId="77777777">
            <w:pPr>
              <w:pStyle w:val="Tab3LastColNonGras"/>
              <w:rPr>
                <w:lang w:val="fr-FR"/>
              </w:rPr>
            </w:pPr>
            <w:r>
              <w:rPr>
                <w:lang w:val="fr-FR"/>
              </w:rPr>
              <w:t>0,06</w:t>
            </w:r>
          </w:p>
        </w:tc>
      </w:tr>
      <w:tr w14:paraId="645A745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10B0A00" w14:textId="77777777">
            <w:pPr>
              <w:pStyle w:val="Tab3FirstColNonGras"/>
              <w:rPr>
                <w:lang w:val="fr-FR"/>
              </w:rPr>
            </w:pPr>
            <w:r>
              <w:rPr>
                <w:lang w:val="fr-FR"/>
              </w:rPr>
              <w:t>KELLANOVA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F8B7AA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4ECBADA" w14:textId="77777777">
            <w:pPr>
              <w:pStyle w:val="Tab3MiddleColNonGras"/>
              <w:rPr>
                <w:lang w:val="fr-FR"/>
              </w:rPr>
            </w:pPr>
            <w:r>
              <w:rPr>
                <w:lang w:val="fr-FR"/>
              </w:rPr>
              <w:t>591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8C8E56F" w14:textId="77777777">
            <w:pPr>
              <w:pStyle w:val="Tab3MiddleColNonGras"/>
              <w:rPr>
                <w:lang w:val="fr-FR"/>
              </w:rPr>
            </w:pPr>
            <w:r>
              <w:rPr>
                <w:lang w:val="fr-FR"/>
              </w:rPr>
              <w:t>47 002,23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E169B8F" w14:textId="77777777">
            <w:pPr>
              <w:pStyle w:val="Tab3LastColNonGras"/>
              <w:rPr>
                <w:lang w:val="fr-FR"/>
              </w:rPr>
            </w:pPr>
            <w:r>
              <w:rPr>
                <w:lang w:val="fr-FR"/>
              </w:rPr>
              <w:t>0,01</w:t>
            </w:r>
          </w:p>
        </w:tc>
      </w:tr>
      <w:tr w14:paraId="3C24EB2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D2D508B" w14:textId="77777777">
            <w:pPr>
              <w:pStyle w:val="Tab3FirstColNonGras"/>
              <w:rPr>
                <w:lang w:val="fr-FR"/>
              </w:rPr>
            </w:pPr>
            <w:r>
              <w:rPr>
                <w:lang w:val="fr-FR"/>
              </w:rPr>
              <w:t>KERRY GROUP PLC-A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E77CDC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51DE059" w14:textId="77777777">
            <w:pPr>
              <w:pStyle w:val="Tab3MiddleColNonGras"/>
              <w:rPr>
                <w:lang w:val="fr-FR"/>
              </w:rPr>
            </w:pPr>
            <w:r>
              <w:rPr>
                <w:lang w:val="fr-FR"/>
              </w:rPr>
              <w:t>385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63491BF" w14:textId="77777777">
            <w:pPr>
              <w:pStyle w:val="Tab3MiddleColNonGras"/>
              <w:rPr>
                <w:lang w:val="fr-FR"/>
              </w:rPr>
            </w:pPr>
            <w:r>
              <w:rPr>
                <w:lang w:val="fr-FR"/>
              </w:rPr>
              <w:t>42 368,65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9C816F0" w14:textId="77777777">
            <w:pPr>
              <w:pStyle w:val="Tab3LastColNonGras"/>
              <w:rPr>
                <w:lang w:val="fr-FR"/>
              </w:rPr>
            </w:pPr>
            <w:r>
              <w:rPr>
                <w:lang w:val="fr-FR"/>
              </w:rPr>
              <w:t>0,01</w:t>
            </w:r>
          </w:p>
        </w:tc>
      </w:tr>
      <w:tr w14:paraId="61A969D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F5D00B7" w14:textId="77777777">
            <w:pPr>
              <w:pStyle w:val="Tab3FirstColNonGras"/>
              <w:rPr>
                <w:lang w:val="fr-FR"/>
              </w:rPr>
            </w:pPr>
            <w:r>
              <w:rPr>
                <w:lang w:val="fr-FR"/>
              </w:rPr>
              <w:t>KEYSIGHT TECHNOLOGIES IN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DF1615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0313AC7" w14:textId="77777777">
            <w:pPr>
              <w:pStyle w:val="Tab3MiddleColNonGras"/>
              <w:rPr>
                <w:lang w:val="fr-FR"/>
              </w:rPr>
            </w:pPr>
            <w:r>
              <w:rPr>
                <w:lang w:val="fr-FR"/>
              </w:rPr>
              <w:t>2 068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BA89FC9" w14:textId="77777777">
            <w:pPr>
              <w:pStyle w:val="Tab3MiddleColNonGras"/>
              <w:rPr>
                <w:lang w:val="fr-FR"/>
              </w:rPr>
            </w:pPr>
            <w:r>
              <w:rPr>
                <w:lang w:val="fr-FR"/>
              </w:rPr>
              <w:t>338 862,48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F06C467" w14:textId="77777777">
            <w:pPr>
              <w:pStyle w:val="Tab3LastColNonGras"/>
              <w:rPr>
                <w:lang w:val="fr-FR"/>
              </w:rPr>
            </w:pPr>
            <w:r>
              <w:rPr>
                <w:lang w:val="fr-FR"/>
              </w:rPr>
              <w:t>0,10</w:t>
            </w:r>
          </w:p>
        </w:tc>
      </w:tr>
      <w:tr w14:paraId="10717BB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B4EA025" w14:textId="77777777">
            <w:pPr>
              <w:pStyle w:val="Tab3FirstColNonGras"/>
              <w:rPr>
                <w:lang w:val="fr-FR"/>
              </w:rPr>
            </w:pPr>
            <w:r>
              <w:rPr>
                <w:lang w:val="fr-FR"/>
              </w:rPr>
              <w:t>KIKKOMAN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2627E03"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7891960" w14:textId="77777777">
            <w:pPr>
              <w:pStyle w:val="Tab3MiddleColNonGras"/>
              <w:rPr>
                <w:lang w:val="fr-FR"/>
              </w:rPr>
            </w:pPr>
            <w:r>
              <w:rPr>
                <w:lang w:val="fr-FR"/>
              </w:rPr>
              <w:t>7 800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19F3B03" w14:textId="77777777">
            <w:pPr>
              <w:pStyle w:val="Tab3MiddleColNonGras"/>
              <w:rPr>
                <w:lang w:val="fr-FR"/>
              </w:rPr>
            </w:pPr>
            <w:r>
              <w:rPr>
                <w:lang w:val="fr-FR"/>
              </w:rPr>
              <w:t>72 251,73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4A7B256" w14:textId="77777777">
            <w:pPr>
              <w:pStyle w:val="Tab3LastColNonGras"/>
              <w:rPr>
                <w:lang w:val="fr-FR"/>
              </w:rPr>
            </w:pPr>
            <w:r>
              <w:rPr>
                <w:lang w:val="fr-FR"/>
              </w:rPr>
              <w:t>0,02</w:t>
            </w:r>
          </w:p>
        </w:tc>
      </w:tr>
      <w:tr w14:paraId="6BDA93C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CA2DEBC" w14:textId="77777777">
            <w:pPr>
              <w:pStyle w:val="Tab3FirstColNonGras"/>
              <w:rPr>
                <w:lang w:val="fr-FR"/>
              </w:rPr>
            </w:pPr>
            <w:r>
              <w:rPr>
                <w:lang w:val="fr-FR"/>
              </w:rPr>
              <w:t>LOTUS BAKERIES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F47BD4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E35CEC6" w14:textId="77777777">
            <w:pPr>
              <w:pStyle w:val="Tab3MiddleColNonGras"/>
              <w:rPr>
                <w:lang w:val="fr-FR"/>
              </w:rPr>
            </w:pPr>
            <w:r>
              <w:rPr>
                <w:lang w:val="fr-FR"/>
              </w:rPr>
              <w:t>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14A4451" w14:textId="77777777">
            <w:pPr>
              <w:pStyle w:val="Tab3MiddleColNonGras"/>
              <w:rPr>
                <w:lang w:val="fr-FR"/>
              </w:rPr>
            </w:pPr>
            <w:r>
              <w:rPr>
                <w:lang w:val="fr-FR"/>
              </w:rPr>
              <w:t>19 180,71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92BAEB9" w14:textId="77777777">
            <w:pPr>
              <w:pStyle w:val="Tab3LastColNonGras"/>
              <w:rPr>
                <w:lang w:val="fr-FR"/>
              </w:rPr>
            </w:pPr>
            <w:r>
              <w:rPr>
                <w:lang w:val="fr-FR"/>
              </w:rPr>
              <w:t>0,01</w:t>
            </w:r>
          </w:p>
        </w:tc>
      </w:tr>
      <w:tr w14:paraId="2C831FE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3B63DEFC" w14:textId="77777777">
            <w:pPr>
              <w:pStyle w:val="Tab3FirstColNonGras"/>
              <w:rPr>
                <w:lang w:val="en-US"/>
              </w:rPr>
            </w:pPr>
            <w:r w:rsidRPr="00D61EB0">
              <w:rPr>
                <w:lang w:val="en-US"/>
              </w:rPr>
              <w:t>MCCORMICK &amp; CO-NON VTG SHRS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16E2B1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A78A889" w14:textId="77777777">
            <w:pPr>
              <w:pStyle w:val="Tab3MiddleColNonGras"/>
              <w:rPr>
                <w:lang w:val="fr-FR"/>
              </w:rPr>
            </w:pPr>
            <w:r>
              <w:rPr>
                <w:lang w:val="fr-FR"/>
              </w:rPr>
              <w:t>2 147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1E68809" w14:textId="77777777">
            <w:pPr>
              <w:pStyle w:val="Tab3MiddleColNonGras"/>
              <w:rPr>
                <w:lang w:val="fr-FR"/>
              </w:rPr>
            </w:pPr>
            <w:r>
              <w:rPr>
                <w:lang w:val="fr-FR"/>
              </w:rPr>
              <w:t>162 785,54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3FD6E75" w14:textId="77777777">
            <w:pPr>
              <w:pStyle w:val="Tab3LastColNonGras"/>
              <w:rPr>
                <w:lang w:val="fr-FR"/>
              </w:rPr>
            </w:pPr>
            <w:r>
              <w:rPr>
                <w:lang w:val="fr-FR"/>
              </w:rPr>
              <w:t>0,05</w:t>
            </w:r>
          </w:p>
        </w:tc>
      </w:tr>
      <w:tr w14:paraId="02E05B6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D6C9204" w14:textId="77777777">
            <w:pPr>
              <w:pStyle w:val="Tab3FirstColNonGras"/>
              <w:rPr>
                <w:lang w:val="fr-FR"/>
              </w:rPr>
            </w:pPr>
            <w:r>
              <w:rPr>
                <w:lang w:val="fr-FR"/>
              </w:rPr>
              <w:t>MOWI ASA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92A86A0" w14:textId="77777777">
            <w:pPr>
              <w:pStyle w:val="Tab1MiddleColNonGrasCentre"/>
              <w:rPr>
                <w:lang w:val="fr-FR"/>
              </w:rPr>
            </w:pPr>
            <w:r>
              <w:rPr>
                <w:lang w:val="fr-FR"/>
              </w:rPr>
              <w:t>NOK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F7B57C8" w14:textId="77777777">
            <w:pPr>
              <w:pStyle w:val="Tab3MiddleColNonGras"/>
              <w:rPr>
                <w:lang w:val="fr-FR"/>
              </w:rPr>
            </w:pPr>
            <w:r>
              <w:rPr>
                <w:lang w:val="fr-FR"/>
              </w:rPr>
              <w:t>5 053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9E35B36" w14:textId="77777777">
            <w:pPr>
              <w:pStyle w:val="Tab3MiddleColNonGras"/>
              <w:rPr>
                <w:lang w:val="fr-FR"/>
              </w:rPr>
            </w:pPr>
            <w:r>
              <w:rPr>
                <w:lang w:val="fr-FR"/>
              </w:rPr>
              <w:t>97 167,95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22F125E" w14:textId="77777777">
            <w:pPr>
              <w:pStyle w:val="Tab3LastColNonGras"/>
              <w:rPr>
                <w:lang w:val="fr-FR"/>
              </w:rPr>
            </w:pPr>
            <w:r>
              <w:rPr>
                <w:lang w:val="fr-FR"/>
              </w:rPr>
              <w:t>0,03</w:t>
            </w:r>
          </w:p>
        </w:tc>
      </w:tr>
      <w:tr w14:paraId="1EBF713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741FE558" w14:textId="77777777">
            <w:pPr>
              <w:pStyle w:val="Tab3FirstColNonGras"/>
              <w:rPr>
                <w:lang w:val="en-US"/>
              </w:rPr>
            </w:pPr>
            <w:r w:rsidRPr="00D61EB0">
              <w:rPr>
                <w:lang w:val="en-US"/>
              </w:rPr>
              <w:t>NISSIN FOODS HOLDINGS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6AE5A22"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9C489D0" w14:textId="77777777">
            <w:pPr>
              <w:pStyle w:val="Tab3MiddleColNonGras"/>
              <w:rPr>
                <w:lang w:val="fr-FR"/>
              </w:rPr>
            </w:pPr>
            <w:r>
              <w:rPr>
                <w:lang w:val="fr-FR"/>
              </w:rPr>
              <w:t>1 700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3E7EAFF" w14:textId="77777777">
            <w:pPr>
              <w:pStyle w:val="Tab3MiddleColNonGras"/>
              <w:rPr>
                <w:lang w:val="fr-FR"/>
              </w:rPr>
            </w:pPr>
            <w:r>
              <w:rPr>
                <w:lang w:val="fr-FR"/>
              </w:rPr>
              <w:t>35 254,60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32F0AD5" w14:textId="77777777">
            <w:pPr>
              <w:pStyle w:val="Tab3LastColNonGras"/>
              <w:rPr>
                <w:lang w:val="fr-FR"/>
              </w:rPr>
            </w:pPr>
            <w:r>
              <w:rPr>
                <w:lang w:val="fr-FR"/>
              </w:rPr>
              <w:t>0,01</w:t>
            </w:r>
          </w:p>
        </w:tc>
      </w:tr>
      <w:tr w14:paraId="6241715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165EFD1" w14:textId="77777777">
            <w:pPr>
              <w:pStyle w:val="Tab3FirstColNonGras"/>
              <w:rPr>
                <w:lang w:val="fr-FR"/>
              </w:rPr>
            </w:pPr>
            <w:r>
              <w:rPr>
                <w:lang w:val="fr-FR"/>
              </w:rPr>
              <w:t>SALMAR ASA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EADF34D" w14:textId="77777777">
            <w:pPr>
              <w:pStyle w:val="Tab1MiddleColNonGrasCentre"/>
              <w:rPr>
                <w:lang w:val="fr-FR"/>
              </w:rPr>
            </w:pPr>
            <w:r>
              <w:rPr>
                <w:lang w:val="fr-FR"/>
              </w:rPr>
              <w:t>NOK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25BAAA9" w14:textId="77777777">
            <w:pPr>
              <w:pStyle w:val="Tab3MiddleColNonGras"/>
              <w:rPr>
                <w:lang w:val="fr-FR"/>
              </w:rPr>
            </w:pPr>
            <w:r>
              <w:rPr>
                <w:lang w:val="fr-FR"/>
              </w:rPr>
              <w:t>697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1AEFF7E" w14:textId="77777777">
            <w:pPr>
              <w:pStyle w:val="Tab3MiddleColNonGras"/>
              <w:rPr>
                <w:lang w:val="fr-FR"/>
              </w:rPr>
            </w:pPr>
            <w:r>
              <w:rPr>
                <w:lang w:val="fr-FR"/>
              </w:rPr>
              <w:t>30 084,74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18C6667" w14:textId="77777777">
            <w:pPr>
              <w:pStyle w:val="Tab3LastColNonGras"/>
              <w:rPr>
                <w:lang w:val="fr-FR"/>
              </w:rPr>
            </w:pPr>
            <w:r>
              <w:rPr>
                <w:lang w:val="fr-FR"/>
              </w:rPr>
              <w:t>0,01</w:t>
            </w:r>
          </w:p>
        </w:tc>
      </w:tr>
      <w:tr w14:paraId="1899637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3A5A3A6" w14:textId="77777777">
            <w:pPr>
              <w:pStyle w:val="Tab3FirstColNonGras"/>
              <w:rPr>
                <w:lang w:val="fr-FR"/>
              </w:rPr>
            </w:pPr>
            <w:r>
              <w:rPr>
                <w:lang w:val="fr-FR"/>
              </w:rPr>
              <w:t>SUNTORY BEVERAGE &amp; FOOD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483BBA6"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CC28674" w14:textId="77777777">
            <w:pPr>
              <w:pStyle w:val="Tab3MiddleColNonGras"/>
              <w:rPr>
                <w:lang w:val="fr-FR"/>
              </w:rPr>
            </w:pPr>
            <w:r>
              <w:rPr>
                <w:lang w:val="fr-FR"/>
              </w:rPr>
              <w:t>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DACDDFD" w14:textId="77777777">
            <w:pPr>
              <w:pStyle w:val="Tab3MiddleColNonGras"/>
              <w:rPr>
                <w:lang w:val="fr-FR"/>
              </w:rPr>
            </w:pPr>
            <w:r>
              <w:rPr>
                <w:lang w:val="fr-FR"/>
              </w:rPr>
              <w:t>15 957,63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BCD288C" w14:textId="77777777">
            <w:pPr>
              <w:pStyle w:val="Tab3LastColNonGras"/>
              <w:rPr>
                <w:lang w:val="fr-FR"/>
              </w:rPr>
            </w:pPr>
            <w:r>
              <w:rPr>
                <w:lang w:val="fr-FR"/>
              </w:rPr>
              <w:t>0,00</w:t>
            </w:r>
          </w:p>
        </w:tc>
      </w:tr>
      <w:tr w14:paraId="406913A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F88C50F" w14:textId="77777777">
            <w:pPr>
              <w:pStyle w:val="Tab3FirstColNonGras"/>
              <w:rPr>
                <w:lang w:val="fr-FR"/>
              </w:rPr>
            </w:pPr>
            <w:r>
              <w:rPr>
                <w:lang w:val="fr-FR"/>
              </w:rPr>
              <w:t>THE CAMPBELL'S COMPANY</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CFCB69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5F51559" w14:textId="77777777">
            <w:pPr>
              <w:pStyle w:val="Tab3MiddleColNonGras"/>
              <w:rPr>
                <w:lang w:val="fr-FR"/>
              </w:rPr>
            </w:pPr>
            <w:r>
              <w:rPr>
                <w:lang w:val="fr-FR"/>
              </w:rPr>
              <w:t>1 167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640B90B" w14:textId="77777777">
            <w:pPr>
              <w:pStyle w:val="Tab3MiddleColNonGras"/>
              <w:rPr>
                <w:lang w:val="fr-FR"/>
              </w:rPr>
            </w:pPr>
            <w:r>
              <w:rPr>
                <w:lang w:val="fr-FR"/>
              </w:rPr>
              <w:t>35 768,55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C07C04D" w14:textId="77777777">
            <w:pPr>
              <w:pStyle w:val="Tab3LastColNonGras"/>
              <w:rPr>
                <w:lang w:val="fr-FR"/>
              </w:rPr>
            </w:pPr>
            <w:r>
              <w:rPr>
                <w:lang w:val="fr-FR"/>
              </w:rPr>
              <w:t>0,01</w:t>
            </w:r>
          </w:p>
        </w:tc>
      </w:tr>
      <w:tr w14:paraId="64BE663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A22D02C" w14:textId="77777777">
            <w:pPr>
              <w:pStyle w:val="Tab1FirstColGras"/>
              <w:rPr>
                <w:lang w:val="fr-FR"/>
              </w:rPr>
            </w:pPr>
            <w:r>
              <w:rPr>
                <w:lang w:val="fr-FR"/>
              </w:rPr>
              <w:t>Produits chimiques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4498E2C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3841C2D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4DDD83CF" w14:textId="77777777">
            <w:pPr>
              <w:pStyle w:val="Tab1MiddleColGras"/>
              <w:rPr>
                <w:lang w:val="fr-FR"/>
              </w:rPr>
            </w:pPr>
            <w:r>
              <w:rPr>
                <w:lang w:val="fr-FR"/>
              </w:rPr>
              <w:t>1 069 167,81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61668C7" w14:textId="77777777">
            <w:pPr>
              <w:pStyle w:val="Tab1LastColGras"/>
              <w:rPr>
                <w:lang w:val="fr-FR"/>
              </w:rPr>
            </w:pPr>
            <w:r>
              <w:rPr>
                <w:lang w:val="fr-FR"/>
              </w:rPr>
              <w:t>0,31</w:t>
            </w:r>
          </w:p>
        </w:tc>
      </w:tr>
      <w:tr w14:paraId="44AACA0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7636613" w14:textId="77777777">
            <w:pPr>
              <w:pStyle w:val="Tab3FirstColNonGras"/>
              <w:rPr>
                <w:lang w:val="fr-FR"/>
              </w:rPr>
            </w:pPr>
            <w:r>
              <w:rPr>
                <w:lang w:val="fr-FR"/>
              </w:rPr>
              <w:t>AVANTOR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B4FE5E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333CAA1" w14:textId="77777777">
            <w:pPr>
              <w:pStyle w:val="Tab3MiddleColNonGras"/>
              <w:rPr>
                <w:lang w:val="fr-FR"/>
              </w:rPr>
            </w:pPr>
            <w:r>
              <w:rPr>
                <w:lang w:val="fr-FR"/>
              </w:rPr>
              <w:t>6 160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4F131B1" w14:textId="77777777">
            <w:pPr>
              <w:pStyle w:val="Tab3MiddleColNonGras"/>
              <w:rPr>
                <w:lang w:val="fr-FR"/>
              </w:rPr>
            </w:pPr>
            <w:r>
              <w:rPr>
                <w:lang w:val="fr-FR"/>
              </w:rPr>
              <w:t>82 913,60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40C3DC6" w14:textId="77777777">
            <w:pPr>
              <w:pStyle w:val="Tab3LastColNonGras"/>
              <w:rPr>
                <w:lang w:val="fr-FR"/>
              </w:rPr>
            </w:pPr>
            <w:r>
              <w:rPr>
                <w:lang w:val="fr-FR"/>
              </w:rPr>
              <w:t>0,02</w:t>
            </w:r>
          </w:p>
        </w:tc>
      </w:tr>
      <w:tr w14:paraId="585B41A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715DE29" w14:textId="77777777">
            <w:pPr>
              <w:pStyle w:val="Tab3FirstColNonGras"/>
              <w:rPr>
                <w:lang w:val="fr-FR"/>
              </w:rPr>
            </w:pPr>
            <w:r>
              <w:rPr>
                <w:lang w:val="fr-FR"/>
              </w:rPr>
              <w:t>BRENNTAG AG NAMEN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CF8C6C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EED9740" w14:textId="77777777">
            <w:pPr>
              <w:pStyle w:val="Tab3MiddleColNonGras"/>
              <w:rPr>
                <w:lang w:val="fr-FR"/>
              </w:rPr>
            </w:pPr>
            <w:r>
              <w:rPr>
                <w:lang w:val="fr-FR"/>
              </w:rPr>
              <w:t>409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BD07AD7" w14:textId="77777777">
            <w:pPr>
              <w:pStyle w:val="Tab3MiddleColNonGras"/>
              <w:rPr>
                <w:lang w:val="fr-FR"/>
              </w:rPr>
            </w:pPr>
            <w:r>
              <w:rPr>
                <w:lang w:val="fr-FR"/>
              </w:rPr>
              <w:t>26 981,88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8058F68" w14:textId="77777777">
            <w:pPr>
              <w:pStyle w:val="Tab3LastColNonGras"/>
              <w:rPr>
                <w:lang w:val="fr-FR"/>
              </w:rPr>
            </w:pPr>
            <w:r>
              <w:rPr>
                <w:lang w:val="fr-FR"/>
              </w:rPr>
              <w:t>0,01</w:t>
            </w:r>
          </w:p>
        </w:tc>
      </w:tr>
      <w:tr w14:paraId="71D195C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FF27856" w14:textId="77777777">
            <w:pPr>
              <w:pStyle w:val="Tab3FirstColNonGras"/>
              <w:rPr>
                <w:lang w:val="fr-FR"/>
              </w:rPr>
            </w:pPr>
            <w:r>
              <w:rPr>
                <w:lang w:val="fr-FR"/>
              </w:rPr>
              <w:t>CRODA INTERNATIONAL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3FF5ED2"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6E5877E" w14:textId="77777777">
            <w:pPr>
              <w:pStyle w:val="Tab3MiddleColNonGras"/>
              <w:rPr>
                <w:lang w:val="fr-FR"/>
              </w:rPr>
            </w:pPr>
            <w:r>
              <w:rPr>
                <w:lang w:val="fr-FR"/>
              </w:rPr>
              <w:t>1 395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E8BA126" w14:textId="77777777">
            <w:pPr>
              <w:pStyle w:val="Tab3MiddleColNonGras"/>
              <w:rPr>
                <w:lang w:val="fr-FR"/>
              </w:rPr>
            </w:pPr>
            <w:r>
              <w:rPr>
                <w:lang w:val="fr-FR"/>
              </w:rPr>
              <w:t>55 896,69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DB2075F" w14:textId="77777777">
            <w:pPr>
              <w:pStyle w:val="Tab3LastColNonGras"/>
              <w:rPr>
                <w:lang w:val="fr-FR"/>
              </w:rPr>
            </w:pPr>
            <w:r>
              <w:rPr>
                <w:lang w:val="fr-FR"/>
              </w:rPr>
              <w:t>0,02</w:t>
            </w:r>
          </w:p>
        </w:tc>
      </w:tr>
      <w:tr w14:paraId="1DAB524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06D1F49" w14:textId="77777777">
            <w:pPr>
              <w:pStyle w:val="Tab3FirstColNonGras"/>
              <w:rPr>
                <w:lang w:val="fr-FR"/>
              </w:rPr>
            </w:pPr>
            <w:r>
              <w:rPr>
                <w:lang w:val="fr-FR"/>
              </w:rPr>
              <w:t>DSM-FIRMENICH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555FB6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E997323" w14:textId="77777777">
            <w:pPr>
              <w:pStyle w:val="Tab3MiddleColNonGras"/>
              <w:rPr>
                <w:lang w:val="fr-FR"/>
              </w:rPr>
            </w:pPr>
            <w:r>
              <w:rPr>
                <w:lang w:val="fr-FR"/>
              </w:rPr>
              <w:t>399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FE2B05A" w14:textId="77777777">
            <w:pPr>
              <w:pStyle w:val="Tab3MiddleColNonGras"/>
              <w:rPr>
                <w:lang w:val="fr-FR"/>
              </w:rPr>
            </w:pPr>
            <w:r>
              <w:rPr>
                <w:lang w:val="fr-FR"/>
              </w:rPr>
              <w:t>42 274,73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6942DBC" w14:textId="77777777">
            <w:pPr>
              <w:pStyle w:val="Tab3LastColNonGras"/>
              <w:rPr>
                <w:lang w:val="fr-FR"/>
              </w:rPr>
            </w:pPr>
            <w:r>
              <w:rPr>
                <w:lang w:val="fr-FR"/>
              </w:rPr>
              <w:t>0,01</w:t>
            </w:r>
          </w:p>
        </w:tc>
      </w:tr>
      <w:tr w14:paraId="6E19A81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07F29A1" w14:textId="77777777">
            <w:pPr>
              <w:pStyle w:val="Tab3FirstColNonGras"/>
              <w:rPr>
                <w:lang w:val="fr-FR"/>
              </w:rPr>
            </w:pPr>
            <w:r>
              <w:rPr>
                <w:lang w:val="fr-FR"/>
              </w:rPr>
              <w:t>GIVAUDAN-REG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96CF129"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36C8C69" w14:textId="77777777">
            <w:pPr>
              <w:pStyle w:val="Tab3MiddleColNonGras"/>
              <w:rPr>
                <w:lang w:val="fr-FR"/>
              </w:rPr>
            </w:pPr>
            <w:r>
              <w:rPr>
                <w:lang w:val="fr-FR"/>
              </w:rPr>
              <w:t>98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6535BCF" w14:textId="77777777">
            <w:pPr>
              <w:pStyle w:val="Tab3MiddleColNonGras"/>
              <w:rPr>
                <w:lang w:val="fr-FR"/>
              </w:rPr>
            </w:pPr>
            <w:r>
              <w:rPr>
                <w:lang w:val="fr-FR"/>
              </w:rPr>
              <w:t>472 904,45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6F5C881" w14:textId="77777777">
            <w:pPr>
              <w:pStyle w:val="Tab3LastColNonGras"/>
              <w:rPr>
                <w:lang w:val="fr-FR"/>
              </w:rPr>
            </w:pPr>
            <w:r>
              <w:rPr>
                <w:lang w:val="fr-FR"/>
              </w:rPr>
              <w:t>0,14</w:t>
            </w:r>
          </w:p>
        </w:tc>
      </w:tr>
      <w:tr w14:paraId="59E45FC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9529980" w14:textId="77777777">
            <w:pPr>
              <w:pStyle w:val="Tab3FirstColNonGras"/>
              <w:rPr>
                <w:lang w:val="fr-FR"/>
              </w:rPr>
            </w:pPr>
            <w:r>
              <w:rPr>
                <w:lang w:val="fr-FR"/>
              </w:rPr>
              <w:t>NOVONESIS (NOVOZYMES)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0D7BC36" w14:textId="77777777">
            <w:pPr>
              <w:pStyle w:val="Tab1MiddleColNonGrasCentre"/>
              <w:rPr>
                <w:lang w:val="fr-FR"/>
              </w:rPr>
            </w:pPr>
            <w:r>
              <w:rPr>
                <w:lang w:val="fr-FR"/>
              </w:rPr>
              <w:t>DKK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F5C2F00" w14:textId="77777777">
            <w:pPr>
              <w:pStyle w:val="Tab3MiddleColNonGras"/>
              <w:rPr>
                <w:lang w:val="fr-FR"/>
              </w:rPr>
            </w:pPr>
            <w:r>
              <w:rPr>
                <w:lang w:val="fr-FR"/>
              </w:rPr>
              <w:t>3 777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E83BC22" w14:textId="77777777">
            <w:pPr>
              <w:pStyle w:val="Tab3MiddleColNonGras"/>
              <w:rPr>
                <w:lang w:val="fr-FR"/>
              </w:rPr>
            </w:pPr>
            <w:r>
              <w:rPr>
                <w:lang w:val="fr-FR"/>
              </w:rPr>
              <w:t>269 852,03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ED559D6" w14:textId="77777777">
            <w:pPr>
              <w:pStyle w:val="Tab3LastColNonGras"/>
              <w:rPr>
                <w:lang w:val="fr-FR"/>
              </w:rPr>
            </w:pPr>
            <w:r>
              <w:rPr>
                <w:lang w:val="fr-FR"/>
              </w:rPr>
              <w:t>0,08</w:t>
            </w:r>
          </w:p>
        </w:tc>
      </w:tr>
      <w:tr w14:paraId="7B1DEA0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93A3014" w14:textId="77777777">
            <w:pPr>
              <w:pStyle w:val="Tab3FirstColNonGras"/>
              <w:rPr>
                <w:lang w:val="fr-FR"/>
              </w:rPr>
            </w:pPr>
            <w:r>
              <w:rPr>
                <w:lang w:val="fr-FR"/>
              </w:rPr>
              <w:t>SYMRISE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853354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B2EA4C0" w14:textId="77777777">
            <w:pPr>
              <w:pStyle w:val="Tab3MiddleColNonGras"/>
              <w:rPr>
                <w:lang w:val="fr-FR"/>
              </w:rPr>
            </w:pPr>
            <w:r>
              <w:rPr>
                <w:lang w:val="fr-FR"/>
              </w:rPr>
              <w:t>1 131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773450B" w14:textId="77777777">
            <w:pPr>
              <w:pStyle w:val="Tab3MiddleColNonGras"/>
              <w:rPr>
                <w:lang w:val="fr-FR"/>
              </w:rPr>
            </w:pPr>
            <w:r>
              <w:rPr>
                <w:lang w:val="fr-FR"/>
              </w:rPr>
              <w:t>118 344,43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C2CBB66" w14:textId="77777777">
            <w:pPr>
              <w:pStyle w:val="Tab3LastColNonGras"/>
              <w:rPr>
                <w:lang w:val="fr-FR"/>
              </w:rPr>
            </w:pPr>
            <w:r>
              <w:rPr>
                <w:lang w:val="fr-FR"/>
              </w:rPr>
              <w:t>0,03</w:t>
            </w:r>
          </w:p>
        </w:tc>
      </w:tr>
      <w:tr w14:paraId="2E68342D"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45A814AA" w14:textId="77777777">
            <w:pPr>
              <w:pStyle w:val="Tab1FirstColGras"/>
              <w:rPr>
                <w:lang w:val="fr-FR"/>
              </w:rPr>
            </w:pPr>
            <w:r>
              <w:rPr>
                <w:lang w:val="fr-FR"/>
              </w:rPr>
              <w:t>Produits de soins personnels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5C2D9CF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5CEC90F1"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7A815121" w14:textId="77777777">
            <w:pPr>
              <w:pStyle w:val="Tab1MiddleColGras"/>
              <w:rPr>
                <w:lang w:val="fr-FR"/>
              </w:rPr>
            </w:pPr>
            <w:r>
              <w:rPr>
                <w:lang w:val="fr-FR"/>
              </w:rPr>
              <w:t>2 066 012,46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E124830" w14:textId="77777777">
            <w:pPr>
              <w:pStyle w:val="Tab1LastColGras"/>
              <w:rPr>
                <w:lang w:val="fr-FR"/>
              </w:rPr>
            </w:pPr>
            <w:r>
              <w:rPr>
                <w:lang w:val="fr-FR"/>
              </w:rPr>
              <w:t>0,59</w:t>
            </w:r>
          </w:p>
        </w:tc>
      </w:tr>
      <w:tr w14:paraId="5DD20C4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EA67AE9" w14:textId="77777777">
            <w:pPr>
              <w:pStyle w:val="Tab3FirstColNonGras"/>
              <w:rPr>
                <w:lang w:val="fr-FR"/>
              </w:rPr>
            </w:pPr>
            <w:r>
              <w:rPr>
                <w:lang w:val="fr-FR"/>
              </w:rPr>
              <w:t>BEIERSDORF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3C6315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55E767E" w14:textId="77777777">
            <w:pPr>
              <w:pStyle w:val="Tab3MiddleColNonGras"/>
              <w:rPr>
                <w:lang w:val="fr-FR"/>
              </w:rPr>
            </w:pPr>
            <w:r>
              <w:rPr>
                <w:lang w:val="fr-FR"/>
              </w:rPr>
              <w:t>1 033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3F4B4F5" w14:textId="77777777">
            <w:pPr>
              <w:pStyle w:val="Tab3MiddleColNonGras"/>
              <w:rPr>
                <w:lang w:val="fr-FR"/>
              </w:rPr>
            </w:pPr>
            <w:r>
              <w:rPr>
                <w:lang w:val="fr-FR"/>
              </w:rPr>
              <w:t>129 261,78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DCF1E82" w14:textId="77777777">
            <w:pPr>
              <w:pStyle w:val="Tab3LastColNonGras"/>
              <w:rPr>
                <w:lang w:val="fr-FR"/>
              </w:rPr>
            </w:pPr>
            <w:r>
              <w:rPr>
                <w:lang w:val="fr-FR"/>
              </w:rPr>
              <w:t>0,04</w:t>
            </w:r>
          </w:p>
        </w:tc>
      </w:tr>
      <w:tr w14:paraId="5E993C8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5E2F1D8C" w14:textId="77777777">
            <w:pPr>
              <w:pStyle w:val="Tab3FirstColNonGras"/>
              <w:rPr>
                <w:lang w:val="en-US"/>
              </w:rPr>
            </w:pPr>
            <w:r w:rsidRPr="00D61EB0">
              <w:rPr>
                <w:lang w:val="en-US"/>
              </w:rPr>
              <w:t>ESTEE LAUDER COMPANIES-CL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08D5E7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A6D2C68" w14:textId="77777777">
            <w:pPr>
              <w:pStyle w:val="Tab3MiddleColNonGras"/>
              <w:rPr>
                <w:lang w:val="fr-FR"/>
              </w:rPr>
            </w:pPr>
            <w:r>
              <w:rPr>
                <w:lang w:val="fr-FR"/>
              </w:rPr>
              <w:t>2 199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94D6853" w14:textId="77777777">
            <w:pPr>
              <w:pStyle w:val="Tab3MiddleColNonGras"/>
              <w:rPr>
                <w:lang w:val="fr-FR"/>
              </w:rPr>
            </w:pPr>
            <w:r>
              <w:rPr>
                <w:lang w:val="fr-FR"/>
              </w:rPr>
              <w:t>177 679,20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9A80A20" w14:textId="77777777">
            <w:pPr>
              <w:pStyle w:val="Tab3LastColNonGras"/>
              <w:rPr>
                <w:lang w:val="fr-FR"/>
              </w:rPr>
            </w:pPr>
            <w:r>
              <w:rPr>
                <w:lang w:val="fr-FR"/>
              </w:rPr>
              <w:t>0,05</w:t>
            </w:r>
          </w:p>
        </w:tc>
      </w:tr>
      <w:tr w14:paraId="35D91C5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7B3C4C9" w14:textId="77777777">
            <w:pPr>
              <w:pStyle w:val="Tab3FirstColNonGras"/>
              <w:rPr>
                <w:lang w:val="fr-FR"/>
              </w:rPr>
            </w:pPr>
            <w:r>
              <w:rPr>
                <w:lang w:val="fr-FR"/>
              </w:rPr>
              <w:t>HALEON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6912046"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88FDB53" w14:textId="77777777">
            <w:pPr>
              <w:pStyle w:val="Tab3MiddleColNonGras"/>
              <w:rPr>
                <w:lang w:val="fr-FR"/>
              </w:rPr>
            </w:pPr>
            <w:r>
              <w:rPr>
                <w:lang w:val="fr-FR"/>
              </w:rPr>
              <w:t>100 001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1DDB3FB" w14:textId="77777777">
            <w:pPr>
              <w:pStyle w:val="Tab3MiddleColNonGras"/>
              <w:rPr>
                <w:lang w:val="fr-FR"/>
              </w:rPr>
            </w:pPr>
            <w:r>
              <w:rPr>
                <w:lang w:val="fr-FR"/>
              </w:rPr>
              <w:t>513 067,74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14E59D6" w14:textId="77777777">
            <w:pPr>
              <w:pStyle w:val="Tab3LastColNonGras"/>
              <w:rPr>
                <w:lang w:val="fr-FR"/>
              </w:rPr>
            </w:pPr>
            <w:r>
              <w:rPr>
                <w:lang w:val="fr-FR"/>
              </w:rPr>
              <w:t>0,15</w:t>
            </w:r>
          </w:p>
        </w:tc>
      </w:tr>
      <w:tr w14:paraId="7ED1D37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5202465" w14:textId="77777777">
            <w:pPr>
              <w:pStyle w:val="Tab3FirstColNonGras"/>
              <w:rPr>
                <w:lang w:val="fr-FR"/>
              </w:rPr>
            </w:pPr>
            <w:r>
              <w:rPr>
                <w:lang w:val="fr-FR"/>
              </w:rPr>
              <w:t>KAO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D211B3F"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A1F1096" w14:textId="77777777">
            <w:pPr>
              <w:pStyle w:val="Tab3MiddleColNonGras"/>
              <w:rPr>
                <w:lang w:val="fr-FR"/>
              </w:rPr>
            </w:pPr>
            <w:r>
              <w:rPr>
                <w:lang w:val="fr-FR"/>
              </w:rPr>
              <w:t>1 100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4CC1605" w14:textId="77777777">
            <w:pPr>
              <w:pStyle w:val="Tab3MiddleColNonGras"/>
              <w:rPr>
                <w:lang w:val="fr-FR"/>
              </w:rPr>
            </w:pPr>
            <w:r>
              <w:rPr>
                <w:lang w:val="fr-FR"/>
              </w:rPr>
              <w:t>49 172,35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4759B41" w14:textId="77777777">
            <w:pPr>
              <w:pStyle w:val="Tab3LastColNonGras"/>
              <w:rPr>
                <w:lang w:val="fr-FR"/>
              </w:rPr>
            </w:pPr>
            <w:r>
              <w:rPr>
                <w:lang w:val="fr-FR"/>
              </w:rPr>
              <w:t>0,01</w:t>
            </w:r>
          </w:p>
        </w:tc>
      </w:tr>
      <w:tr w14:paraId="26F699B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2AB8288" w14:textId="77777777">
            <w:pPr>
              <w:pStyle w:val="Tab3FirstColNonGras"/>
              <w:rPr>
                <w:lang w:val="fr-FR"/>
              </w:rPr>
            </w:pPr>
            <w:r>
              <w:rPr>
                <w:lang w:val="fr-FR"/>
              </w:rPr>
              <w:t>L'OREAL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8BB7BB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B84F86F" w14:textId="77777777">
            <w:pPr>
              <w:pStyle w:val="Tab3MiddleColNonGras"/>
              <w:rPr>
                <w:lang w:val="fr-FR"/>
              </w:rPr>
            </w:pPr>
            <w:r>
              <w:rPr>
                <w:lang w:val="fr-FR"/>
              </w:rPr>
              <w:t>428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73BB0EF" w14:textId="77777777">
            <w:pPr>
              <w:pStyle w:val="Tab3MiddleColNonGras"/>
              <w:rPr>
                <w:lang w:val="fr-FR"/>
              </w:rPr>
            </w:pPr>
            <w:r>
              <w:rPr>
                <w:lang w:val="fr-FR"/>
              </w:rPr>
              <w:t>182 424,27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7FFAF57" w14:textId="77777777">
            <w:pPr>
              <w:pStyle w:val="Tab3LastColNonGras"/>
              <w:rPr>
                <w:lang w:val="fr-FR"/>
              </w:rPr>
            </w:pPr>
            <w:r>
              <w:rPr>
                <w:lang w:val="fr-FR"/>
              </w:rPr>
              <w:t>0,05</w:t>
            </w:r>
          </w:p>
        </w:tc>
      </w:tr>
      <w:tr w14:paraId="1F5547F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D74A852" w14:textId="77777777">
            <w:pPr>
              <w:pStyle w:val="Tab3FirstColNonGras"/>
              <w:rPr>
                <w:lang w:val="fr-FR"/>
              </w:rPr>
            </w:pPr>
            <w:r>
              <w:rPr>
                <w:lang w:val="fr-FR"/>
              </w:rPr>
              <w:t>L'OREAL PF 2027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F6A48A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B70FF1D" w14:textId="77777777">
            <w:pPr>
              <w:pStyle w:val="Tab3MiddleColNonGras"/>
              <w:rPr>
                <w:lang w:val="fr-FR"/>
              </w:rPr>
            </w:pPr>
            <w:r>
              <w:rPr>
                <w:lang w:val="fr-FR"/>
              </w:rPr>
              <w:t>691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8F7BEF9" w14:textId="77777777">
            <w:pPr>
              <w:pStyle w:val="Tab3MiddleColNonGras"/>
              <w:rPr>
                <w:lang w:val="fr-FR"/>
              </w:rPr>
            </w:pPr>
            <w:r>
              <w:rPr>
                <w:lang w:val="fr-FR"/>
              </w:rPr>
              <w:t>294 521,43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3661C38" w14:textId="77777777">
            <w:pPr>
              <w:pStyle w:val="Tab3LastColNonGras"/>
              <w:rPr>
                <w:lang w:val="fr-FR"/>
              </w:rPr>
            </w:pPr>
            <w:r>
              <w:rPr>
                <w:lang w:val="fr-FR"/>
              </w:rPr>
              <w:t>0,08</w:t>
            </w:r>
          </w:p>
        </w:tc>
      </w:tr>
      <w:tr w14:paraId="07D0A74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5B5B9DA" w14:textId="77777777">
            <w:pPr>
              <w:pStyle w:val="Tab3FirstColNonGras"/>
              <w:rPr>
                <w:lang w:val="fr-FR"/>
              </w:rPr>
            </w:pPr>
            <w:r>
              <w:rPr>
                <w:lang w:val="fr-FR"/>
              </w:rPr>
              <w:t>L'OREAL SA-PF</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7A796B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34ED9DC" w14:textId="77777777">
            <w:pPr>
              <w:pStyle w:val="Tab3MiddleColNonGras"/>
              <w:rPr>
                <w:lang w:val="fr-FR"/>
              </w:rPr>
            </w:pPr>
            <w:r>
              <w:rPr>
                <w:lang w:val="fr-FR"/>
              </w:rPr>
              <w:t>1 213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3087071" w14:textId="77777777">
            <w:pPr>
              <w:pStyle w:val="Tab3MiddleColNonGras"/>
              <w:rPr>
                <w:lang w:val="fr-FR"/>
              </w:rPr>
            </w:pPr>
            <w:r>
              <w:rPr>
                <w:lang w:val="fr-FR"/>
              </w:rPr>
              <w:t>517 010,85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5CE5646" w14:textId="77777777">
            <w:pPr>
              <w:pStyle w:val="Tab3LastColNonGras"/>
              <w:rPr>
                <w:lang w:val="fr-FR"/>
              </w:rPr>
            </w:pPr>
            <w:r>
              <w:rPr>
                <w:lang w:val="fr-FR"/>
              </w:rPr>
              <w:t>0,15</w:t>
            </w:r>
          </w:p>
        </w:tc>
      </w:tr>
      <w:tr w14:paraId="77E89B6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AACFCC4" w14:textId="77777777">
            <w:pPr>
              <w:pStyle w:val="Tab3FirstColNonGras"/>
              <w:rPr>
                <w:lang w:val="fr-FR"/>
              </w:rPr>
            </w:pPr>
            <w:r>
              <w:rPr>
                <w:lang w:val="fr-FR"/>
              </w:rPr>
              <w:t>L'OREAL SA-PF 2026</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969E61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EACAFA3" w14:textId="77777777">
            <w:pPr>
              <w:pStyle w:val="Tab3MiddleColNonGras"/>
              <w:rPr>
                <w:lang w:val="fr-FR"/>
              </w:rPr>
            </w:pPr>
            <w:r>
              <w:rPr>
                <w:lang w:val="fr-FR"/>
              </w:rPr>
              <w:t>430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1DACB4C" w14:textId="77777777">
            <w:pPr>
              <w:pStyle w:val="Tab3MiddleColNonGras"/>
              <w:rPr>
                <w:lang w:val="fr-FR"/>
              </w:rPr>
            </w:pPr>
            <w:r>
              <w:rPr>
                <w:lang w:val="fr-FR"/>
              </w:rPr>
              <w:t>183 276,72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1B5D63C" w14:textId="77777777">
            <w:pPr>
              <w:pStyle w:val="Tab3LastColNonGras"/>
              <w:rPr>
                <w:lang w:val="fr-FR"/>
              </w:rPr>
            </w:pPr>
            <w:r>
              <w:rPr>
                <w:lang w:val="fr-FR"/>
              </w:rPr>
              <w:t>0,05</w:t>
            </w:r>
          </w:p>
        </w:tc>
      </w:tr>
      <w:tr w14:paraId="61EECC1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19ECCEF" w14:textId="77777777">
            <w:pPr>
              <w:pStyle w:val="Tab3FirstColNonGras"/>
              <w:rPr>
                <w:lang w:val="fr-FR"/>
              </w:rPr>
            </w:pPr>
            <w:r>
              <w:rPr>
                <w:lang w:val="fr-FR"/>
              </w:rPr>
              <w:t>SHISEIDO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428B2E2"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8635B93" w14:textId="77777777">
            <w:pPr>
              <w:pStyle w:val="Tab3MiddleColNonGras"/>
              <w:rPr>
                <w:lang w:val="fr-FR"/>
              </w:rPr>
            </w:pPr>
            <w:r>
              <w:rPr>
                <w:lang w:val="fr-FR"/>
              </w:rPr>
              <w:t>1 100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6BCD737" w14:textId="77777777">
            <w:pPr>
              <w:pStyle w:val="Tab3MiddleColNonGras"/>
              <w:rPr>
                <w:lang w:val="fr-FR"/>
              </w:rPr>
            </w:pPr>
            <w:r>
              <w:rPr>
                <w:lang w:val="fr-FR"/>
              </w:rPr>
              <w:t>19 598,12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5993765" w14:textId="77777777">
            <w:pPr>
              <w:pStyle w:val="Tab3LastColNonGras"/>
              <w:rPr>
                <w:lang w:val="fr-FR"/>
              </w:rPr>
            </w:pPr>
            <w:r>
              <w:rPr>
                <w:lang w:val="fr-FR"/>
              </w:rPr>
              <w:t>0,01</w:t>
            </w:r>
          </w:p>
        </w:tc>
      </w:tr>
      <w:tr w14:paraId="03EC5AF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2117B917" w14:textId="77777777">
            <w:pPr>
              <w:pStyle w:val="Tab1FirstColGras"/>
              <w:rPr>
                <w:lang w:val="fr-FR"/>
              </w:rPr>
            </w:pPr>
            <w:r>
              <w:rPr>
                <w:lang w:val="fr-FR"/>
              </w:rPr>
              <w:t>Produits domestiques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2624661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5D6C9BA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2A9C2AB7" w14:textId="77777777">
            <w:pPr>
              <w:pStyle w:val="Tab1MiddleColGras"/>
              <w:rPr>
                <w:lang w:val="fr-FR"/>
              </w:rPr>
            </w:pPr>
            <w:r>
              <w:rPr>
                <w:lang w:val="fr-FR"/>
              </w:rPr>
              <w:t>601 954,08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41F682D" w14:textId="77777777">
            <w:pPr>
              <w:pStyle w:val="Tab1LastColGras"/>
              <w:rPr>
                <w:lang w:val="fr-FR"/>
              </w:rPr>
            </w:pPr>
            <w:r>
              <w:rPr>
                <w:lang w:val="fr-FR"/>
              </w:rPr>
              <w:t>0,17</w:t>
            </w:r>
          </w:p>
        </w:tc>
      </w:tr>
      <w:tr w14:paraId="09DFB5E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D69AC2A" w14:textId="77777777">
            <w:pPr>
              <w:pStyle w:val="Tab3FirstColNonGras"/>
              <w:rPr>
                <w:lang w:val="fr-FR"/>
              </w:rPr>
            </w:pPr>
            <w:r>
              <w:rPr>
                <w:lang w:val="fr-FR"/>
              </w:rPr>
              <w:t>CLOROX COMPANY</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9FE8E3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5A2AE58" w14:textId="77777777">
            <w:pPr>
              <w:pStyle w:val="Tab3MiddleColNonGras"/>
              <w:rPr>
                <w:lang w:val="fr-FR"/>
              </w:rPr>
            </w:pPr>
            <w:r>
              <w:rPr>
                <w:lang w:val="fr-FR"/>
              </w:rPr>
              <w:t>287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D074235" w14:textId="77777777">
            <w:pPr>
              <w:pStyle w:val="Tab3MiddleColNonGras"/>
              <w:rPr>
                <w:lang w:val="fr-FR"/>
              </w:rPr>
            </w:pPr>
            <w:r>
              <w:rPr>
                <w:lang w:val="fr-FR"/>
              </w:rPr>
              <w:t>34 460,09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A83B5BB" w14:textId="77777777">
            <w:pPr>
              <w:pStyle w:val="Tab3LastColNonGras"/>
              <w:rPr>
                <w:lang w:val="fr-FR"/>
              </w:rPr>
            </w:pPr>
            <w:r>
              <w:rPr>
                <w:lang w:val="fr-FR"/>
              </w:rPr>
              <w:t>0,01</w:t>
            </w:r>
          </w:p>
        </w:tc>
      </w:tr>
      <w:tr w14:paraId="15911AE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6523921" w14:textId="77777777">
            <w:pPr>
              <w:pStyle w:val="Tab3FirstColNonGras"/>
              <w:rPr>
                <w:lang w:val="fr-FR"/>
              </w:rPr>
            </w:pPr>
            <w:r>
              <w:rPr>
                <w:lang w:val="fr-FR"/>
              </w:rPr>
              <w:t>HENKEL AG &amp; CO KGAA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B669B8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A6868A6" w14:textId="77777777">
            <w:pPr>
              <w:pStyle w:val="Tab3MiddleColNonGras"/>
              <w:rPr>
                <w:lang w:val="fr-FR"/>
              </w:rPr>
            </w:pPr>
            <w:r>
              <w:rPr>
                <w:lang w:val="fr-FR"/>
              </w:rPr>
              <w:t>271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283788F" w14:textId="77777777">
            <w:pPr>
              <w:pStyle w:val="Tab3MiddleColNonGras"/>
              <w:rPr>
                <w:lang w:val="fr-FR"/>
              </w:rPr>
            </w:pPr>
            <w:r>
              <w:rPr>
                <w:lang w:val="fr-FR"/>
              </w:rPr>
              <w:t>19 563,97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8B4A7AC" w14:textId="77777777">
            <w:pPr>
              <w:pStyle w:val="Tab3LastColNonGras"/>
              <w:rPr>
                <w:lang w:val="fr-FR"/>
              </w:rPr>
            </w:pPr>
            <w:r>
              <w:rPr>
                <w:lang w:val="fr-FR"/>
              </w:rPr>
              <w:t>0,01</w:t>
            </w:r>
          </w:p>
        </w:tc>
      </w:tr>
      <w:tr w14:paraId="5354F6B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AC2AB5C" w14:textId="77777777">
            <w:pPr>
              <w:pStyle w:val="Tab3FirstColNonGras"/>
              <w:rPr>
                <w:lang w:val="fr-FR"/>
              </w:rPr>
            </w:pPr>
            <w:r>
              <w:rPr>
                <w:lang w:val="fr-FR"/>
              </w:rPr>
              <w:t>HENKEL AG AND CO.KGAA NON VTG PRF</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934DF0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C5BB488" w14:textId="77777777">
            <w:pPr>
              <w:pStyle w:val="Tab3MiddleColNonGras"/>
              <w:rPr>
                <w:lang w:val="fr-FR"/>
              </w:rPr>
            </w:pPr>
            <w:r>
              <w:rPr>
                <w:lang w:val="fr-FR"/>
              </w:rPr>
              <w:t>409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5297B5C" w14:textId="77777777">
            <w:pPr>
              <w:pStyle w:val="Tab3MiddleColNonGras"/>
              <w:rPr>
                <w:lang w:val="fr-FR"/>
              </w:rPr>
            </w:pPr>
            <w:r>
              <w:rPr>
                <w:lang w:val="fr-FR"/>
              </w:rPr>
              <w:t>32 003,78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36E2382" w14:textId="77777777">
            <w:pPr>
              <w:pStyle w:val="Tab3LastColNonGras"/>
              <w:rPr>
                <w:lang w:val="fr-FR"/>
              </w:rPr>
            </w:pPr>
            <w:r>
              <w:rPr>
                <w:lang w:val="fr-FR"/>
              </w:rPr>
              <w:t>0,01</w:t>
            </w:r>
          </w:p>
        </w:tc>
      </w:tr>
      <w:tr w14:paraId="33AFD9A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D897EB4" w14:textId="77777777">
            <w:pPr>
              <w:pStyle w:val="Tab3FirstColNonGras"/>
              <w:rPr>
                <w:lang w:val="fr-FR"/>
              </w:rPr>
            </w:pPr>
            <w:r>
              <w:rPr>
                <w:lang w:val="fr-FR"/>
              </w:rPr>
              <w:t>KIMBERLY-CLARK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ECEB06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A517624" w14:textId="77777777">
            <w:pPr>
              <w:pStyle w:val="Tab3MiddleColNonGras"/>
              <w:rPr>
                <w:lang w:val="fr-FR"/>
              </w:rPr>
            </w:pPr>
            <w:r>
              <w:rPr>
                <w:lang w:val="fr-FR"/>
              </w:rPr>
              <w:t>709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22E3B6A" w14:textId="77777777">
            <w:pPr>
              <w:pStyle w:val="Tab3MiddleColNonGras"/>
              <w:rPr>
                <w:lang w:val="fr-FR"/>
              </w:rPr>
            </w:pPr>
            <w:r>
              <w:rPr>
                <w:lang w:val="fr-FR"/>
              </w:rPr>
              <w:t>91 404,28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2AA208E" w14:textId="77777777">
            <w:pPr>
              <w:pStyle w:val="Tab3LastColNonGras"/>
              <w:rPr>
                <w:lang w:val="fr-FR"/>
              </w:rPr>
            </w:pPr>
            <w:r>
              <w:rPr>
                <w:lang w:val="fr-FR"/>
              </w:rPr>
              <w:t>0,03</w:t>
            </w:r>
          </w:p>
        </w:tc>
      </w:tr>
      <w:tr w14:paraId="29F4EDC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C3CBA7E" w14:textId="77777777">
            <w:pPr>
              <w:pStyle w:val="Tab3FirstColNonGras"/>
              <w:rPr>
                <w:lang w:val="fr-FR"/>
              </w:rPr>
            </w:pPr>
            <w:r>
              <w:rPr>
                <w:lang w:val="fr-FR"/>
              </w:rPr>
              <w:t>RECKITT BENCKISER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0CB7F24"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9D95C39" w14:textId="77777777">
            <w:pPr>
              <w:pStyle w:val="Tab3MiddleColNonGras"/>
              <w:rPr>
                <w:lang w:val="fr-FR"/>
              </w:rPr>
            </w:pPr>
            <w:r>
              <w:rPr>
                <w:lang w:val="fr-FR"/>
              </w:rPr>
              <w:t>5 955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2B3CFE0" w14:textId="77777777">
            <w:pPr>
              <w:pStyle w:val="Tab3MiddleColNonGras"/>
              <w:rPr>
                <w:lang w:val="fr-FR"/>
              </w:rPr>
            </w:pPr>
            <w:r>
              <w:rPr>
                <w:lang w:val="fr-FR"/>
              </w:rPr>
              <w:t>404 352,34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73A7DB2" w14:textId="77777777">
            <w:pPr>
              <w:pStyle w:val="Tab3LastColNonGras"/>
              <w:rPr>
                <w:lang w:val="fr-FR"/>
              </w:rPr>
            </w:pPr>
            <w:r>
              <w:rPr>
                <w:lang w:val="fr-FR"/>
              </w:rPr>
              <w:t>0,10</w:t>
            </w:r>
          </w:p>
        </w:tc>
      </w:tr>
    </w:tbl>
    <w:p w:rsidR="001F4AEE" w14:paraId="3452F383" w14:textId="77777777">
      <w:pPr>
        <w:sectPr>
          <w:headerReference w:type="default" r:id="rId50"/>
          <w:footerReference w:type="default" r:id="rId51"/>
          <w:pgSz w:w="11900" w:h="16840"/>
          <w:pgMar w:top="2154" w:right="1134" w:bottom="1134" w:left="1134" w:header="400" w:footer="400" w:gutter="0"/>
          <w:cols w:space="720"/>
        </w:sectPr>
      </w:pPr>
    </w:p>
    <w:p w:rsidR="001F4AEE" w14:paraId="6D54CAF8" w14:textId="77777777">
      <w:pPr>
        <w:spacing w:line="30" w:lineRule="exact"/>
        <w:rPr>
          <w:sz w:val="3"/>
        </w:rPr>
      </w:pPr>
    </w:p>
    <w:p w:rsidR="001F4AEE" w14:paraId="68FB78E3" w14:textId="77777777">
      <w:pPr>
        <w:pStyle w:val="TechnicalBookmark"/>
        <w:rPr>
          <w:lang w:val="fr-FR"/>
        </w:rPr>
      </w:pPr>
      <w:r>
        <w:rPr>
          <w:lang w:val="fr-FR"/>
        </w:rPr>
        <w:fldChar w:fldCharType="begin"/>
      </w:r>
      <w:r>
        <w:rPr>
          <w:lang w:val="fr-FR"/>
        </w:rPr>
        <w:instrText xml:space="preserve"> SET 003AA96FCDCB34C0F34C7BB58CBCABD5 "" </w:instrText>
      </w:r>
      <w:r>
        <w:rPr>
          <w:lang w:val="fr-FR"/>
        </w:rPr>
        <w:fldChar w:fldCharType="separate"/>
      </w:r>
      <w:bookmarkStart w:id="106" w:name="003AA96FCDCB34C0F34C7BB58CBCABD5"/>
      <w:bookmarkEnd w:id="106"/>
      <w:r>
        <w:rPr>
          <w:lang w:val="fr-FR"/>
        </w:rPr>
        <w:fldChar w:fldCharType="end"/>
      </w:r>
    </w:p>
    <w:p w:rsidR="001F4AEE" w14:paraId="125992C8" w14:textId="77777777">
      <w:pPr>
        <w:pStyle w:val="H2"/>
        <w:rPr>
          <w:lang w:val="fr-FR"/>
        </w:rPr>
      </w:pPr>
      <w:r>
        <w:rPr>
          <w:lang w:val="fr-FR"/>
        </w:rPr>
        <w:t xml:space="preserve">Inventaire des éléments de bilan </w:t>
      </w:r>
    </w:p>
    <w:p w:rsidR="001F4AEE" w14:paraId="1160AEDE" w14:textId="77777777">
      <w:pPr>
        <w:pStyle w:val="NoRefToc"/>
        <w:rPr>
          <w:lang w:val="fr-FR"/>
        </w:rPr>
      </w:pPr>
    </w:p>
    <w:p w:rsidR="001F4AEE" w14:paraId="45213491" w14:textId="77777777">
      <w:pPr>
        <w:pStyle w:val="TechnicalBookmark"/>
        <w:rPr>
          <w:lang w:val="fr-FR"/>
        </w:rPr>
      </w:pPr>
      <w:r>
        <w:rPr>
          <w:lang w:val="fr-FR"/>
        </w:rPr>
        <w:fldChar w:fldCharType="begin"/>
      </w:r>
      <w:r>
        <w:rPr>
          <w:lang w:val="fr-FR"/>
        </w:rPr>
        <w:instrText xml:space="preserve"> SET 63A65E8B2682A1191B8EB4DB00E34C44 "" </w:instrText>
      </w:r>
      <w:r>
        <w:rPr>
          <w:lang w:val="fr-FR"/>
        </w:rPr>
        <w:fldChar w:fldCharType="separate"/>
      </w:r>
      <w:bookmarkStart w:id="107" w:name="63A65E8B2682A1191B8EB4DB00E34C44"/>
      <w:bookmarkEnd w:id="107"/>
      <w:r>
        <w:rPr>
          <w:lang w:val="fr-FR"/>
        </w:rPr>
        <w:fldChar w:fldCharType="end"/>
      </w:r>
    </w:p>
    <w:p w:rsidR="001F4AEE" w14:paraId="25EA882D"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61EB8B2F"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3176F699"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3BDF13AA"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7802308E" w14:textId="77777777">
            <w:pPr>
              <w:pStyle w:val="EnteteTabMiddleColBordure"/>
              <w:spacing w:line="184" w:lineRule="exact"/>
              <w:rPr>
                <w:lang w:val="fr-FR"/>
              </w:rPr>
            </w:pPr>
            <w:r>
              <w:rPr>
                <w:lang w:val="fr-FR"/>
              </w:rPr>
              <w:t>Quantité ou</w:t>
            </w:r>
          </w:p>
          <w:p w:rsidR="001F4AEE" w14:paraId="070DA296"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312316A8"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2A28ED6B" w14:textId="77777777">
            <w:pPr>
              <w:pStyle w:val="EnteteTabLastColBordure"/>
              <w:spacing w:line="184" w:lineRule="exact"/>
              <w:rPr>
                <w:lang w:val="fr-FR"/>
              </w:rPr>
            </w:pPr>
            <w:r>
              <w:rPr>
                <w:lang w:val="fr-FR"/>
              </w:rPr>
              <w:t>% Actif</w:t>
            </w:r>
          </w:p>
          <w:p w:rsidR="001F4AEE" w14:paraId="7F28F929" w14:textId="77777777">
            <w:pPr>
              <w:pStyle w:val="EnteteTabLastColBordure"/>
              <w:spacing w:line="184" w:lineRule="exact"/>
              <w:rPr>
                <w:lang w:val="fr-FR"/>
              </w:rPr>
            </w:pPr>
            <w:r>
              <w:rPr>
                <w:lang w:val="fr-FR"/>
              </w:rPr>
              <w:t>Net</w:t>
            </w:r>
          </w:p>
        </w:tc>
      </w:tr>
      <w:tr w14:paraId="76E505F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4477C7E" w14:textId="77777777">
            <w:pPr>
              <w:pStyle w:val="Tab3FirstColNonGras"/>
              <w:rPr>
                <w:lang w:val="fr-FR"/>
              </w:rPr>
            </w:pPr>
            <w:r>
              <w:rPr>
                <w:lang w:val="fr-FR"/>
              </w:rPr>
              <w:t>UNICHARM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57FAF42"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E736DBC" w14:textId="77777777">
            <w:pPr>
              <w:pStyle w:val="Tab3MiddleColNonGras"/>
              <w:rPr>
                <w:lang w:val="fr-FR"/>
              </w:rPr>
            </w:pPr>
            <w:r>
              <w:rPr>
                <w:lang w:val="fr-FR"/>
              </w:rPr>
              <w:t>2 800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D45C1AD" w14:textId="77777777">
            <w:pPr>
              <w:pStyle w:val="Tab3MiddleColNonGras"/>
              <w:rPr>
                <w:lang w:val="fr-FR"/>
              </w:rPr>
            </w:pPr>
            <w:r>
              <w:rPr>
                <w:lang w:val="fr-FR"/>
              </w:rPr>
              <w:t>20 169,62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823F7C4" w14:textId="77777777">
            <w:pPr>
              <w:pStyle w:val="Tab3LastColNonGras"/>
              <w:rPr>
                <w:lang w:val="fr-FR"/>
              </w:rPr>
            </w:pPr>
            <w:r>
              <w:rPr>
                <w:lang w:val="fr-FR"/>
              </w:rPr>
              <w:t>0,01</w:t>
            </w:r>
          </w:p>
        </w:tc>
      </w:tr>
      <w:tr w14:paraId="4B2F09C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4B221CC2" w14:textId="77777777">
            <w:pPr>
              <w:pStyle w:val="Tab1FirstColGras"/>
              <w:rPr>
                <w:lang w:val="fr-FR"/>
              </w:rPr>
            </w:pPr>
            <w:r>
              <w:rPr>
                <w:lang w:val="fr-FR"/>
              </w:rPr>
              <w:t>Produits pharmaceutiques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76B6247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4A1582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7CBF73C1" w14:textId="77777777">
            <w:pPr>
              <w:pStyle w:val="Tab1MiddleColGras"/>
              <w:rPr>
                <w:lang w:val="fr-FR"/>
              </w:rPr>
            </w:pPr>
            <w:r>
              <w:rPr>
                <w:lang w:val="fr-FR"/>
              </w:rPr>
              <w:t>14 153 501,40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7C8BE07" w14:textId="77777777">
            <w:pPr>
              <w:pStyle w:val="Tab1LastColGras"/>
              <w:rPr>
                <w:lang w:val="fr-FR"/>
              </w:rPr>
            </w:pPr>
            <w:r>
              <w:rPr>
                <w:lang w:val="fr-FR"/>
              </w:rPr>
              <w:t>4,07</w:t>
            </w:r>
          </w:p>
        </w:tc>
      </w:tr>
      <w:tr w14:paraId="022ADA5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6960A93" w14:textId="77777777">
            <w:pPr>
              <w:pStyle w:val="Tab3FirstColNonGras"/>
              <w:rPr>
                <w:lang w:val="fr-FR"/>
              </w:rPr>
            </w:pPr>
            <w:r>
              <w:rPr>
                <w:lang w:val="fr-FR"/>
              </w:rPr>
              <w:t>ABBVIE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520A4F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06538FF" w14:textId="77777777">
            <w:pPr>
              <w:pStyle w:val="Tab3MiddleColNonGras"/>
              <w:rPr>
                <w:lang w:val="fr-FR"/>
              </w:rPr>
            </w:pPr>
            <w:r>
              <w:rPr>
                <w:lang w:val="fr-FR"/>
              </w:rPr>
              <w:t>8 908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6488159" w14:textId="77777777">
            <w:pPr>
              <w:pStyle w:val="Tab3MiddleColNonGras"/>
              <w:rPr>
                <w:lang w:val="fr-FR"/>
              </w:rPr>
            </w:pPr>
            <w:r>
              <w:rPr>
                <w:lang w:val="fr-FR"/>
              </w:rPr>
              <w:t>1 653 502,96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6973721" w14:textId="77777777">
            <w:pPr>
              <w:pStyle w:val="Tab3LastColNonGras"/>
              <w:rPr>
                <w:lang w:val="fr-FR"/>
              </w:rPr>
            </w:pPr>
            <w:r>
              <w:rPr>
                <w:lang w:val="fr-FR"/>
              </w:rPr>
              <w:t>0,48</w:t>
            </w:r>
          </w:p>
        </w:tc>
      </w:tr>
      <w:tr w14:paraId="554DC92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105E310" w14:textId="77777777">
            <w:pPr>
              <w:pStyle w:val="Tab3FirstColNonGras"/>
              <w:rPr>
                <w:lang w:val="fr-FR"/>
              </w:rPr>
            </w:pPr>
            <w:r>
              <w:rPr>
                <w:lang w:val="fr-FR"/>
              </w:rPr>
              <w:t>CHUGAI PHARMACEUTICAL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9E4B8E8"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6964976" w14:textId="77777777">
            <w:pPr>
              <w:pStyle w:val="Tab3MiddleColNonGras"/>
              <w:rPr>
                <w:lang w:val="fr-FR"/>
              </w:rPr>
            </w:pPr>
            <w:r>
              <w:rPr>
                <w:lang w:val="fr-FR"/>
              </w:rPr>
              <w:t>7 900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E8D2202" w14:textId="77777777">
            <w:pPr>
              <w:pStyle w:val="Tab3MiddleColNonGras"/>
              <w:rPr>
                <w:lang w:val="fr-FR"/>
              </w:rPr>
            </w:pPr>
            <w:r>
              <w:rPr>
                <w:lang w:val="fr-FR"/>
              </w:rPr>
              <w:t>411 558,06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75EA788" w14:textId="77777777">
            <w:pPr>
              <w:pStyle w:val="Tab3LastColNonGras"/>
              <w:rPr>
                <w:lang w:val="fr-FR"/>
              </w:rPr>
            </w:pPr>
            <w:r>
              <w:rPr>
                <w:lang w:val="fr-FR"/>
              </w:rPr>
              <w:t>0,12</w:t>
            </w:r>
          </w:p>
        </w:tc>
      </w:tr>
      <w:tr w14:paraId="12C9787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42B82BD" w14:textId="77777777">
            <w:pPr>
              <w:pStyle w:val="Tab3FirstColNonGras"/>
              <w:rPr>
                <w:lang w:val="fr-FR"/>
              </w:rPr>
            </w:pPr>
            <w:r>
              <w:rPr>
                <w:lang w:val="fr-FR"/>
              </w:rPr>
              <w:t>DAIICHI SANKYO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44359C3"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6D76429" w14:textId="77777777">
            <w:pPr>
              <w:pStyle w:val="Tab3MiddleColNonGras"/>
              <w:rPr>
                <w:lang w:val="fr-FR"/>
              </w:rPr>
            </w:pPr>
            <w:r>
              <w:rPr>
                <w:lang w:val="fr-FR"/>
              </w:rPr>
              <w:t>19 600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02A35F6" w14:textId="77777777">
            <w:pPr>
              <w:pStyle w:val="Tab3MiddleColNonGras"/>
              <w:rPr>
                <w:lang w:val="fr-FR"/>
              </w:rPr>
            </w:pPr>
            <w:r>
              <w:rPr>
                <w:lang w:val="fr-FR"/>
              </w:rPr>
              <w:t>456 602,89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E64F9A1" w14:textId="77777777">
            <w:pPr>
              <w:pStyle w:val="Tab3LastColNonGras"/>
              <w:rPr>
                <w:lang w:val="fr-FR"/>
              </w:rPr>
            </w:pPr>
            <w:r>
              <w:rPr>
                <w:lang w:val="fr-FR"/>
              </w:rPr>
              <w:t>0,13</w:t>
            </w:r>
          </w:p>
        </w:tc>
      </w:tr>
      <w:tr w14:paraId="1A7ABA4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61F6B69" w14:textId="77777777">
            <w:pPr>
              <w:pStyle w:val="Tab3FirstColNonGras"/>
              <w:rPr>
                <w:lang w:val="fr-FR"/>
              </w:rPr>
            </w:pPr>
            <w:r>
              <w:rPr>
                <w:lang w:val="fr-FR"/>
              </w:rPr>
              <w:t>EISAI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E68707E"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7B040FA" w14:textId="77777777">
            <w:pPr>
              <w:pStyle w:val="Tab3MiddleColNonGras"/>
              <w:rPr>
                <w:lang w:val="fr-FR"/>
              </w:rPr>
            </w:pPr>
            <w:r>
              <w:rPr>
                <w:lang w:val="fr-FR"/>
              </w:rPr>
              <w:t>2 700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FB9A14C" w14:textId="77777777">
            <w:pPr>
              <w:pStyle w:val="Tab3MiddleColNonGras"/>
              <w:rPr>
                <w:lang w:val="fr-FR"/>
              </w:rPr>
            </w:pPr>
            <w:r>
              <w:rPr>
                <w:lang w:val="fr-FR"/>
              </w:rPr>
              <w:t>77 535,40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F6D985B" w14:textId="77777777">
            <w:pPr>
              <w:pStyle w:val="Tab3LastColNonGras"/>
              <w:rPr>
                <w:lang w:val="fr-FR"/>
              </w:rPr>
            </w:pPr>
            <w:r>
              <w:rPr>
                <w:lang w:val="fr-FR"/>
              </w:rPr>
              <w:t>0,02</w:t>
            </w:r>
          </w:p>
        </w:tc>
      </w:tr>
      <w:tr w14:paraId="5969EE0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149A3EA" w14:textId="77777777">
            <w:pPr>
              <w:pStyle w:val="Tab3FirstColNonGras"/>
              <w:rPr>
                <w:lang w:val="fr-FR"/>
              </w:rPr>
            </w:pPr>
            <w:r>
              <w:rPr>
                <w:lang w:val="fr-FR"/>
              </w:rPr>
              <w:t>ELI LILLY &amp;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1222B9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6EF02C5" w14:textId="77777777">
            <w:pPr>
              <w:pStyle w:val="Tab3MiddleColNonGras"/>
              <w:rPr>
                <w:lang w:val="fr-FR"/>
              </w:rPr>
            </w:pPr>
            <w:r>
              <w:rPr>
                <w:lang w:val="fr-FR"/>
              </w:rPr>
              <w:t>9 495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A49FAEA" w14:textId="77777777">
            <w:pPr>
              <w:pStyle w:val="Tab3MiddleColNonGras"/>
              <w:rPr>
                <w:lang w:val="fr-FR"/>
              </w:rPr>
            </w:pPr>
            <w:r>
              <w:rPr>
                <w:lang w:val="fr-FR"/>
              </w:rPr>
              <w:t>7 401 637,35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32B9117" w14:textId="77777777">
            <w:pPr>
              <w:pStyle w:val="Tab3LastColNonGras"/>
              <w:rPr>
                <w:lang w:val="fr-FR"/>
              </w:rPr>
            </w:pPr>
            <w:r>
              <w:rPr>
                <w:lang w:val="fr-FR"/>
              </w:rPr>
              <w:t>2,13</w:t>
            </w:r>
          </w:p>
        </w:tc>
      </w:tr>
      <w:tr w14:paraId="1BD1910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FDD781B" w14:textId="77777777">
            <w:pPr>
              <w:pStyle w:val="Tab3FirstColNonGras"/>
              <w:rPr>
                <w:lang w:val="fr-FR"/>
              </w:rPr>
            </w:pPr>
            <w:r>
              <w:rPr>
                <w:lang w:val="fr-FR"/>
              </w:rPr>
              <w:t>ESSITY AKTIEBOLAG-B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E557D6B"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0B97B5E" w14:textId="77777777">
            <w:pPr>
              <w:pStyle w:val="Tab3MiddleColNonGras"/>
              <w:rPr>
                <w:lang w:val="fr-FR"/>
              </w:rPr>
            </w:pPr>
            <w:r>
              <w:rPr>
                <w:lang w:val="fr-FR"/>
              </w:rPr>
              <w:t>1 414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6BE849D" w14:textId="77777777">
            <w:pPr>
              <w:pStyle w:val="Tab3MiddleColNonGras"/>
              <w:rPr>
                <w:lang w:val="fr-FR"/>
              </w:rPr>
            </w:pPr>
            <w:r>
              <w:rPr>
                <w:lang w:val="fr-FR"/>
              </w:rPr>
              <w:t>38 872,28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5F24F1A" w14:textId="77777777">
            <w:pPr>
              <w:pStyle w:val="Tab3LastColNonGras"/>
              <w:rPr>
                <w:lang w:val="fr-FR"/>
              </w:rPr>
            </w:pPr>
            <w:r>
              <w:rPr>
                <w:lang w:val="fr-FR"/>
              </w:rPr>
              <w:t>0,01</w:t>
            </w:r>
          </w:p>
        </w:tc>
      </w:tr>
      <w:tr w14:paraId="3B4B40B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1B4B72B" w14:textId="77777777">
            <w:pPr>
              <w:pStyle w:val="Tab3FirstColNonGras"/>
              <w:rPr>
                <w:lang w:val="fr-FR"/>
              </w:rPr>
            </w:pPr>
            <w:r>
              <w:rPr>
                <w:lang w:val="fr-FR"/>
              </w:rPr>
              <w:t>HIKMA PHARMACEUTICALS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CE3C45D"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8F0F228" w14:textId="77777777">
            <w:pPr>
              <w:pStyle w:val="Tab3MiddleColNonGras"/>
              <w:rPr>
                <w:lang w:val="fr-FR"/>
              </w:rPr>
            </w:pPr>
            <w:r>
              <w:rPr>
                <w:lang w:val="fr-FR"/>
              </w:rPr>
              <w:t>1 910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E86E895" w14:textId="77777777">
            <w:pPr>
              <w:pStyle w:val="Tab3MiddleColNonGras"/>
              <w:rPr>
                <w:lang w:val="fr-FR"/>
              </w:rPr>
            </w:pPr>
            <w:r>
              <w:rPr>
                <w:lang w:val="fr-FR"/>
              </w:rPr>
              <w:t>52 033,65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895863B" w14:textId="77777777">
            <w:pPr>
              <w:pStyle w:val="Tab3LastColNonGras"/>
              <w:rPr>
                <w:lang w:val="fr-FR"/>
              </w:rPr>
            </w:pPr>
            <w:r>
              <w:rPr>
                <w:lang w:val="fr-FR"/>
              </w:rPr>
              <w:t>0,01</w:t>
            </w:r>
          </w:p>
        </w:tc>
      </w:tr>
      <w:tr w14:paraId="51E6D6E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0FE06DE" w14:textId="77777777">
            <w:pPr>
              <w:pStyle w:val="Tab3FirstColNonGras"/>
              <w:rPr>
                <w:lang w:val="fr-FR"/>
              </w:rPr>
            </w:pPr>
            <w:r>
              <w:rPr>
                <w:lang w:val="fr-FR"/>
              </w:rPr>
              <w:t>IPSEN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C5A457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E26F53C" w14:textId="77777777">
            <w:pPr>
              <w:pStyle w:val="Tab3MiddleColNonGras"/>
              <w:rPr>
                <w:lang w:val="fr-FR"/>
              </w:rPr>
            </w:pPr>
            <w:r>
              <w:rPr>
                <w:lang w:val="fr-FR"/>
              </w:rPr>
              <w:t>454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79B024B" w14:textId="77777777">
            <w:pPr>
              <w:pStyle w:val="Tab3MiddleColNonGras"/>
              <w:rPr>
                <w:lang w:val="fr-FR"/>
              </w:rPr>
            </w:pPr>
            <w:r>
              <w:rPr>
                <w:lang w:val="fr-FR"/>
              </w:rPr>
              <w:t>53 879,01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0B3EF0F" w14:textId="77777777">
            <w:pPr>
              <w:pStyle w:val="Tab3LastColNonGras"/>
              <w:rPr>
                <w:lang w:val="fr-FR"/>
              </w:rPr>
            </w:pPr>
            <w:r>
              <w:rPr>
                <w:lang w:val="fr-FR"/>
              </w:rPr>
              <w:t>0,02</w:t>
            </w:r>
          </w:p>
        </w:tc>
      </w:tr>
      <w:tr w14:paraId="7FB44F7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FD0696A" w14:textId="77777777">
            <w:pPr>
              <w:pStyle w:val="Tab3FirstColNonGras"/>
              <w:rPr>
                <w:lang w:val="fr-FR"/>
              </w:rPr>
            </w:pPr>
            <w:r>
              <w:rPr>
                <w:lang w:val="fr-FR"/>
              </w:rPr>
              <w:t>KENVUE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968D22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5525F41" w14:textId="77777777">
            <w:pPr>
              <w:pStyle w:val="Tab3MiddleColNonGras"/>
              <w:rPr>
                <w:lang w:val="fr-FR"/>
              </w:rPr>
            </w:pPr>
            <w:r>
              <w:rPr>
                <w:lang w:val="fr-FR"/>
              </w:rPr>
              <w:t>21 158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41D38F3" w14:textId="77777777">
            <w:pPr>
              <w:pStyle w:val="Tab3MiddleColNonGras"/>
              <w:rPr>
                <w:lang w:val="fr-FR"/>
              </w:rPr>
            </w:pPr>
            <w:r>
              <w:rPr>
                <w:lang w:val="fr-FR"/>
              </w:rPr>
              <w:t>442 836,94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01E912E" w14:textId="77777777">
            <w:pPr>
              <w:pStyle w:val="Tab3LastColNonGras"/>
              <w:rPr>
                <w:lang w:val="fr-FR"/>
              </w:rPr>
            </w:pPr>
            <w:r>
              <w:rPr>
                <w:lang w:val="fr-FR"/>
              </w:rPr>
              <w:t>0,13</w:t>
            </w:r>
          </w:p>
        </w:tc>
      </w:tr>
      <w:tr w14:paraId="3350767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358E264" w14:textId="77777777">
            <w:pPr>
              <w:pStyle w:val="Tab3FirstColNonGras"/>
              <w:rPr>
                <w:lang w:val="fr-FR"/>
              </w:rPr>
            </w:pPr>
            <w:r>
              <w:rPr>
                <w:lang w:val="fr-FR"/>
              </w:rPr>
              <w:t>KYOWA KIRIN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3F1FAA8"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529E130" w14:textId="77777777">
            <w:pPr>
              <w:pStyle w:val="Tab3MiddleColNonGras"/>
              <w:rPr>
                <w:lang w:val="fr-FR"/>
              </w:rPr>
            </w:pPr>
            <w:r>
              <w:rPr>
                <w:lang w:val="fr-FR"/>
              </w:rPr>
              <w:t>1 400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2B0C655" w14:textId="77777777">
            <w:pPr>
              <w:pStyle w:val="Tab3MiddleColNonGras"/>
              <w:rPr>
                <w:lang w:val="fr-FR"/>
              </w:rPr>
            </w:pPr>
            <w:r>
              <w:rPr>
                <w:lang w:val="fr-FR"/>
              </w:rPr>
              <w:t>23 896,29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2B560D3" w14:textId="77777777">
            <w:pPr>
              <w:pStyle w:val="Tab3LastColNonGras"/>
              <w:rPr>
                <w:lang w:val="fr-FR"/>
              </w:rPr>
            </w:pPr>
            <w:r>
              <w:rPr>
                <w:lang w:val="fr-FR"/>
              </w:rPr>
              <w:t>0,01</w:t>
            </w:r>
          </w:p>
        </w:tc>
      </w:tr>
      <w:tr w14:paraId="70DA8D3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0DD77CB" w14:textId="77777777">
            <w:pPr>
              <w:pStyle w:val="Tab3FirstColNonGras"/>
              <w:rPr>
                <w:lang w:val="fr-FR"/>
              </w:rPr>
            </w:pPr>
            <w:r>
              <w:rPr>
                <w:lang w:val="fr-FR"/>
              </w:rPr>
              <w:t>ONO PHARMACEUTICAL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B4961F1"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93F2110" w14:textId="77777777">
            <w:pPr>
              <w:pStyle w:val="Tab3MiddleColNonGras"/>
              <w:rPr>
                <w:lang w:val="fr-FR"/>
              </w:rPr>
            </w:pPr>
            <w:r>
              <w:rPr>
                <w:lang w:val="fr-FR"/>
              </w:rPr>
              <w:t>4 600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5E4135D" w14:textId="77777777">
            <w:pPr>
              <w:pStyle w:val="Tab3MiddleColNonGras"/>
              <w:rPr>
                <w:lang w:val="fr-FR"/>
              </w:rPr>
            </w:pPr>
            <w:r>
              <w:rPr>
                <w:lang w:val="fr-FR"/>
              </w:rPr>
              <w:t>49 647,97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9C7CB9A" w14:textId="77777777">
            <w:pPr>
              <w:pStyle w:val="Tab3LastColNonGras"/>
              <w:rPr>
                <w:lang w:val="fr-FR"/>
              </w:rPr>
            </w:pPr>
            <w:r>
              <w:rPr>
                <w:lang w:val="fr-FR"/>
              </w:rPr>
              <w:t>0,01</w:t>
            </w:r>
          </w:p>
        </w:tc>
      </w:tr>
      <w:tr w14:paraId="6B7F0E3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B694324" w14:textId="77777777">
            <w:pPr>
              <w:pStyle w:val="Tab3FirstColNonGras"/>
              <w:rPr>
                <w:lang w:val="fr-FR"/>
              </w:rPr>
            </w:pPr>
            <w:r>
              <w:rPr>
                <w:lang w:val="fr-FR"/>
              </w:rPr>
              <w:t>ORION OYJ-CLASS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04177C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A9D9E08" w14:textId="77777777">
            <w:pPr>
              <w:pStyle w:val="Tab3MiddleColNonGras"/>
              <w:rPr>
                <w:lang w:val="fr-FR"/>
              </w:rPr>
            </w:pPr>
            <w:r>
              <w:rPr>
                <w:lang w:val="fr-FR"/>
              </w:rPr>
              <w:t>1 091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BC47957" w14:textId="77777777">
            <w:pPr>
              <w:pStyle w:val="Tab3MiddleColNonGras"/>
              <w:rPr>
                <w:lang w:val="fr-FR"/>
              </w:rPr>
            </w:pPr>
            <w:r>
              <w:rPr>
                <w:lang w:val="fr-FR"/>
              </w:rPr>
              <w:t>81 770,80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B6FCFAD" w14:textId="77777777">
            <w:pPr>
              <w:pStyle w:val="Tab3LastColNonGras"/>
              <w:rPr>
                <w:lang w:val="fr-FR"/>
              </w:rPr>
            </w:pPr>
            <w:r>
              <w:rPr>
                <w:lang w:val="fr-FR"/>
              </w:rPr>
              <w:t>0,02</w:t>
            </w:r>
          </w:p>
        </w:tc>
      </w:tr>
      <w:tr w14:paraId="0ABE14C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451432E" w14:textId="77777777">
            <w:pPr>
              <w:pStyle w:val="Tab3FirstColNonGras"/>
              <w:rPr>
                <w:lang w:val="fr-FR"/>
              </w:rPr>
            </w:pPr>
            <w:r>
              <w:rPr>
                <w:lang w:val="fr-FR"/>
              </w:rPr>
              <w:t>RECORDATI INDUSTRIA CHIMICA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C8ADE1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6777399" w14:textId="77777777">
            <w:pPr>
              <w:pStyle w:val="Tab3MiddleColNonGras"/>
              <w:rPr>
                <w:lang w:val="fr-FR"/>
              </w:rPr>
            </w:pPr>
            <w:r>
              <w:rPr>
                <w:lang w:val="fr-FR"/>
              </w:rPr>
              <w:t>1 422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F9A7A7E" w14:textId="77777777">
            <w:pPr>
              <w:pStyle w:val="Tab3MiddleColNonGras"/>
              <w:rPr>
                <w:lang w:val="fr-FR"/>
              </w:rPr>
            </w:pPr>
            <w:r>
              <w:rPr>
                <w:lang w:val="fr-FR"/>
              </w:rPr>
              <w:t>89 136,06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459F950" w14:textId="77777777">
            <w:pPr>
              <w:pStyle w:val="Tab3LastColNonGras"/>
              <w:rPr>
                <w:lang w:val="fr-FR"/>
              </w:rPr>
            </w:pPr>
            <w:r>
              <w:rPr>
                <w:lang w:val="fr-FR"/>
              </w:rPr>
              <w:t>0,03</w:t>
            </w:r>
          </w:p>
        </w:tc>
      </w:tr>
      <w:tr w14:paraId="7D6EB01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92F0DC6" w14:textId="77777777">
            <w:pPr>
              <w:pStyle w:val="Tab3FirstColNonGras"/>
              <w:rPr>
                <w:lang w:val="fr-FR"/>
              </w:rPr>
            </w:pPr>
            <w:r>
              <w:rPr>
                <w:lang w:val="fr-FR"/>
              </w:rPr>
              <w:t>ROYALTY PHARMA PLC- 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D3040B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F2F99E1" w14:textId="77777777">
            <w:pPr>
              <w:pStyle w:val="Tab3MiddleColNonGras"/>
              <w:rPr>
                <w:lang w:val="fr-FR"/>
              </w:rPr>
            </w:pPr>
            <w:r>
              <w:rPr>
                <w:lang w:val="fr-FR"/>
              </w:rPr>
              <w:t>4 180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02F07B6" w14:textId="77777777">
            <w:pPr>
              <w:pStyle w:val="Tab3MiddleColNonGras"/>
              <w:rPr>
                <w:lang w:val="fr-FR"/>
              </w:rPr>
            </w:pPr>
            <w:r>
              <w:rPr>
                <w:lang w:val="fr-FR"/>
              </w:rPr>
              <w:t>150 605,40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74782B9" w14:textId="77777777">
            <w:pPr>
              <w:pStyle w:val="Tab3LastColNonGras"/>
              <w:rPr>
                <w:lang w:val="fr-FR"/>
              </w:rPr>
            </w:pPr>
            <w:r>
              <w:rPr>
                <w:lang w:val="fr-FR"/>
              </w:rPr>
              <w:t>0,04</w:t>
            </w:r>
          </w:p>
        </w:tc>
      </w:tr>
      <w:tr w14:paraId="40E340D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A679757" w14:textId="77777777">
            <w:pPr>
              <w:pStyle w:val="Tab3FirstColNonGras"/>
              <w:rPr>
                <w:lang w:val="fr-FR"/>
              </w:rPr>
            </w:pPr>
            <w:r>
              <w:rPr>
                <w:lang w:val="fr-FR"/>
              </w:rPr>
              <w:t>SANDOZ GROUP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325A4AC"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62B1993" w14:textId="77777777">
            <w:pPr>
              <w:pStyle w:val="Tab3MiddleColNonGras"/>
              <w:rPr>
                <w:lang w:val="fr-FR"/>
              </w:rPr>
            </w:pPr>
            <w:r>
              <w:rPr>
                <w:lang w:val="fr-FR"/>
              </w:rPr>
              <w:t>3 974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E80F3FE" w14:textId="77777777">
            <w:pPr>
              <w:pStyle w:val="Tab3MiddleColNonGras"/>
              <w:rPr>
                <w:lang w:val="fr-FR"/>
              </w:rPr>
            </w:pPr>
            <w:r>
              <w:rPr>
                <w:lang w:val="fr-FR"/>
              </w:rPr>
              <w:t>216 780,74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41D3E14" w14:textId="77777777">
            <w:pPr>
              <w:pStyle w:val="Tab3LastColNonGras"/>
              <w:rPr>
                <w:lang w:val="fr-FR"/>
              </w:rPr>
            </w:pPr>
            <w:r>
              <w:rPr>
                <w:lang w:val="fr-FR"/>
              </w:rPr>
              <w:t>0,06</w:t>
            </w:r>
          </w:p>
        </w:tc>
      </w:tr>
      <w:tr w14:paraId="6F95037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93B14BA" w14:textId="77777777">
            <w:pPr>
              <w:pStyle w:val="Tab3FirstColNonGras"/>
              <w:rPr>
                <w:lang w:val="fr-FR"/>
              </w:rPr>
            </w:pPr>
            <w:r>
              <w:rPr>
                <w:lang w:val="fr-FR"/>
              </w:rPr>
              <w:t>SANOFI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A970C3F"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FBD9D36" w14:textId="77777777">
            <w:pPr>
              <w:pStyle w:val="Tab3MiddleColNonGras"/>
              <w:rPr>
                <w:lang w:val="fr-FR"/>
              </w:rPr>
            </w:pPr>
            <w:r>
              <w:rPr>
                <w:lang w:val="fr-FR"/>
              </w:rPr>
              <w:t>13 082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844EFAB" w14:textId="77777777">
            <w:pPr>
              <w:pStyle w:val="Tab3MiddleColNonGras"/>
              <w:rPr>
                <w:lang w:val="fr-FR"/>
              </w:rPr>
            </w:pPr>
            <w:r>
              <w:rPr>
                <w:lang w:val="fr-FR"/>
              </w:rPr>
              <w:t>1 262 441,89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7AB3ECD" w14:textId="77777777">
            <w:pPr>
              <w:pStyle w:val="Tab3LastColNonGras"/>
              <w:rPr>
                <w:lang w:val="fr-FR"/>
              </w:rPr>
            </w:pPr>
            <w:r>
              <w:rPr>
                <w:lang w:val="fr-FR"/>
              </w:rPr>
              <w:t>0,36</w:t>
            </w:r>
          </w:p>
        </w:tc>
      </w:tr>
      <w:tr w14:paraId="4AB790E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2B36AB0" w14:textId="77777777">
            <w:pPr>
              <w:pStyle w:val="Tab3FirstColNonGras"/>
              <w:rPr>
                <w:lang w:val="fr-FR"/>
              </w:rPr>
            </w:pPr>
            <w:r>
              <w:rPr>
                <w:lang w:val="fr-FR"/>
              </w:rPr>
              <w:t>TAKEDA PHARMACEUTICAL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810B614"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4261CCB" w14:textId="77777777">
            <w:pPr>
              <w:pStyle w:val="Tab3MiddleColNonGras"/>
              <w:rPr>
                <w:lang w:val="fr-FR"/>
              </w:rPr>
            </w:pPr>
            <w:r>
              <w:rPr>
                <w:lang w:val="fr-FR"/>
              </w:rPr>
              <w:t>18 100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52B7795" w14:textId="77777777">
            <w:pPr>
              <w:pStyle w:val="Tab3MiddleColNonGras"/>
              <w:rPr>
                <w:lang w:val="fr-FR"/>
              </w:rPr>
            </w:pPr>
            <w:r>
              <w:rPr>
                <w:lang w:val="fr-FR"/>
              </w:rPr>
              <w:t>554 484,45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F974ED1" w14:textId="77777777">
            <w:pPr>
              <w:pStyle w:val="Tab3LastColNonGras"/>
              <w:rPr>
                <w:lang w:val="fr-FR"/>
              </w:rPr>
            </w:pPr>
            <w:r>
              <w:rPr>
                <w:lang w:val="fr-FR"/>
              </w:rPr>
              <w:t>0,16</w:t>
            </w:r>
          </w:p>
        </w:tc>
      </w:tr>
      <w:tr w14:paraId="4DADE3C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F3EB3BF" w14:textId="77777777">
            <w:pPr>
              <w:pStyle w:val="Tab3FirstColNonGras"/>
              <w:rPr>
                <w:lang w:val="fr-FR"/>
              </w:rPr>
            </w:pPr>
            <w:r>
              <w:rPr>
                <w:lang w:val="fr-FR"/>
              </w:rPr>
              <w:t>UNION CHIMIQUE BELGE/ UCB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382B1A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7E72D76" w14:textId="77777777">
            <w:pPr>
              <w:pStyle w:val="Tab3MiddleColNonGras"/>
              <w:rPr>
                <w:lang w:val="fr-FR"/>
              </w:rPr>
            </w:pPr>
            <w:r>
              <w:rPr>
                <w:lang w:val="fr-FR"/>
              </w:rPr>
              <w:t>1 606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AC7EC1F" w14:textId="77777777">
            <w:pPr>
              <w:pStyle w:val="Tab3MiddleColNonGras"/>
              <w:rPr>
                <w:lang w:val="fr-FR"/>
              </w:rPr>
            </w:pPr>
            <w:r>
              <w:rPr>
                <w:lang w:val="fr-FR"/>
              </w:rPr>
              <w:t>314 734,66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2BA3C73" w14:textId="77777777">
            <w:pPr>
              <w:pStyle w:val="Tab3LastColNonGras"/>
              <w:rPr>
                <w:lang w:val="fr-FR"/>
              </w:rPr>
            </w:pPr>
            <w:r>
              <w:rPr>
                <w:lang w:val="fr-FR"/>
              </w:rPr>
              <w:t>0,09</w:t>
            </w:r>
          </w:p>
        </w:tc>
      </w:tr>
      <w:tr w14:paraId="198E352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3089852" w14:textId="77777777">
            <w:pPr>
              <w:pStyle w:val="Tab3FirstColNonGras"/>
              <w:rPr>
                <w:lang w:val="fr-FR"/>
              </w:rPr>
            </w:pPr>
            <w:r>
              <w:rPr>
                <w:lang w:val="fr-FR"/>
              </w:rPr>
              <w:t>ZOETIS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BC856C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FB52990" w14:textId="77777777">
            <w:pPr>
              <w:pStyle w:val="Tab3MiddleColNonGras"/>
              <w:rPr>
                <w:lang w:val="fr-FR"/>
              </w:rPr>
            </w:pPr>
            <w:r>
              <w:rPr>
                <w:lang w:val="fr-FR"/>
              </w:rPr>
              <w:t>5 268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4087865" w14:textId="77777777">
            <w:pPr>
              <w:pStyle w:val="Tab3MiddleColNonGras"/>
              <w:rPr>
                <w:lang w:val="fr-FR"/>
              </w:rPr>
            </w:pPr>
            <w:r>
              <w:rPr>
                <w:lang w:val="fr-FR"/>
              </w:rPr>
              <w:t>821 544,60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3FF7091" w14:textId="77777777">
            <w:pPr>
              <w:pStyle w:val="Tab3LastColNonGras"/>
              <w:rPr>
                <w:lang w:val="fr-FR"/>
              </w:rPr>
            </w:pPr>
            <w:r>
              <w:rPr>
                <w:lang w:val="fr-FR"/>
              </w:rPr>
              <w:t>0,24</w:t>
            </w:r>
          </w:p>
        </w:tc>
      </w:tr>
      <w:tr w14:paraId="7B5927D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7F9A0822" w14:textId="77777777">
            <w:pPr>
              <w:pStyle w:val="Tab1FirstColGras"/>
              <w:rPr>
                <w:lang w:val="fr-FR"/>
              </w:rPr>
            </w:pPr>
            <w:r>
              <w:rPr>
                <w:lang w:val="fr-FR"/>
              </w:rPr>
              <w:t>Produits pour l'industrie du bâtiment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533700E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002B789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1EBEE3D2" w14:textId="77777777">
            <w:pPr>
              <w:pStyle w:val="Tab1MiddleColGras"/>
              <w:rPr>
                <w:lang w:val="fr-FR"/>
              </w:rPr>
            </w:pPr>
            <w:r>
              <w:rPr>
                <w:lang w:val="fr-FR"/>
              </w:rPr>
              <w:t>1 199 641,10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C36BF64" w14:textId="77777777">
            <w:pPr>
              <w:pStyle w:val="Tab1LastColGras"/>
              <w:rPr>
                <w:lang w:val="fr-FR"/>
              </w:rPr>
            </w:pPr>
            <w:r>
              <w:rPr>
                <w:lang w:val="fr-FR"/>
              </w:rPr>
              <w:t>0,34</w:t>
            </w:r>
          </w:p>
        </w:tc>
      </w:tr>
      <w:tr w14:paraId="243B012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65AF62B" w14:textId="77777777">
            <w:pPr>
              <w:pStyle w:val="Tab3FirstColNonGras"/>
              <w:rPr>
                <w:lang w:val="fr-FR"/>
              </w:rPr>
            </w:pPr>
            <w:r>
              <w:rPr>
                <w:lang w:val="fr-FR"/>
              </w:rPr>
              <w:t>ASSA ABLOY AB-B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AA2A1F9"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C2C7279" w14:textId="77777777">
            <w:pPr>
              <w:pStyle w:val="Tab3MiddleColNonGras"/>
              <w:rPr>
                <w:lang w:val="fr-FR"/>
              </w:rPr>
            </w:pPr>
            <w:r>
              <w:rPr>
                <w:lang w:val="fr-FR"/>
              </w:rPr>
              <w:t>2 142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0305B74" w14:textId="77777777">
            <w:pPr>
              <w:pStyle w:val="Tab3MiddleColNonGras"/>
              <w:rPr>
                <w:lang w:val="fr-FR"/>
              </w:rPr>
            </w:pPr>
            <w:r>
              <w:rPr>
                <w:lang w:val="fr-FR"/>
              </w:rPr>
              <w:t>66 347,58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A3166A2" w14:textId="77777777">
            <w:pPr>
              <w:pStyle w:val="Tab3LastColNonGras"/>
              <w:rPr>
                <w:lang w:val="fr-FR"/>
              </w:rPr>
            </w:pPr>
            <w:r>
              <w:rPr>
                <w:lang w:val="fr-FR"/>
              </w:rPr>
              <w:t>0,02</w:t>
            </w:r>
          </w:p>
        </w:tc>
      </w:tr>
      <w:tr w14:paraId="4837099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6A75C9B" w14:textId="77777777">
            <w:pPr>
              <w:pStyle w:val="Tab3FirstColNonGras"/>
              <w:rPr>
                <w:lang w:val="fr-FR"/>
              </w:rPr>
            </w:pPr>
            <w:r>
              <w:rPr>
                <w:lang w:val="fr-FR"/>
              </w:rPr>
              <w:t>BUILDERS FIRSTSOURCE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D98655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A73F1C7" w14:textId="77777777">
            <w:pPr>
              <w:pStyle w:val="Tab3MiddleColNonGras"/>
              <w:rPr>
                <w:lang w:val="fr-FR"/>
              </w:rPr>
            </w:pPr>
            <w:r>
              <w:rPr>
                <w:lang w:val="fr-FR"/>
              </w:rPr>
              <w:t>274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D0F23DB" w14:textId="77777777">
            <w:pPr>
              <w:pStyle w:val="Tab3MiddleColNonGras"/>
              <w:rPr>
                <w:lang w:val="fr-FR"/>
              </w:rPr>
            </w:pPr>
            <w:r>
              <w:rPr>
                <w:lang w:val="fr-FR"/>
              </w:rPr>
              <w:t>31 973,06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8DF43C1" w14:textId="77777777">
            <w:pPr>
              <w:pStyle w:val="Tab3LastColNonGras"/>
              <w:rPr>
                <w:lang w:val="fr-FR"/>
              </w:rPr>
            </w:pPr>
            <w:r>
              <w:rPr>
                <w:lang w:val="fr-FR"/>
              </w:rPr>
              <w:t>0,01</w:t>
            </w:r>
          </w:p>
        </w:tc>
      </w:tr>
      <w:tr w14:paraId="1D4CDA8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278EFAF" w14:textId="77777777">
            <w:pPr>
              <w:pStyle w:val="Tab3FirstColNonGras"/>
              <w:rPr>
                <w:lang w:val="fr-FR"/>
              </w:rPr>
            </w:pPr>
            <w:r>
              <w:rPr>
                <w:lang w:val="fr-FR"/>
              </w:rPr>
              <w:t>COMPAGNIE DE SAINT GOBAIN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48FB4A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812980E" w14:textId="77777777">
            <w:pPr>
              <w:pStyle w:val="Tab3MiddleColNonGras"/>
              <w:rPr>
                <w:lang w:val="fr-FR"/>
              </w:rPr>
            </w:pPr>
            <w:r>
              <w:rPr>
                <w:lang w:val="fr-FR"/>
              </w:rPr>
              <w:t>1 053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C6027C8" w14:textId="77777777">
            <w:pPr>
              <w:pStyle w:val="Tab3MiddleColNonGras"/>
              <w:rPr>
                <w:lang w:val="fr-FR"/>
              </w:rPr>
            </w:pPr>
            <w:r>
              <w:rPr>
                <w:lang w:val="fr-FR"/>
              </w:rPr>
              <w:t>123 161,42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FE2DD33" w14:textId="77777777">
            <w:pPr>
              <w:pStyle w:val="Tab3LastColNonGras"/>
              <w:rPr>
                <w:lang w:val="fr-FR"/>
              </w:rPr>
            </w:pPr>
            <w:r>
              <w:rPr>
                <w:lang w:val="fr-FR"/>
              </w:rPr>
              <w:t>0,04</w:t>
            </w:r>
          </w:p>
        </w:tc>
      </w:tr>
      <w:tr w14:paraId="7AE7E7E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86911B7" w14:textId="77777777">
            <w:pPr>
              <w:pStyle w:val="Tab3FirstColNonGras"/>
              <w:rPr>
                <w:lang w:val="fr-FR"/>
              </w:rPr>
            </w:pPr>
            <w:r>
              <w:rPr>
                <w:lang w:val="fr-FR"/>
              </w:rPr>
              <w:t>GEBERIT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1D95FB0"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B38C458" w14:textId="77777777">
            <w:pPr>
              <w:pStyle w:val="Tab3MiddleColNonGras"/>
              <w:rPr>
                <w:lang w:val="fr-FR"/>
              </w:rPr>
            </w:pPr>
            <w:r>
              <w:rPr>
                <w:lang w:val="fr-FR"/>
              </w:rPr>
              <w:t>325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BD142E6" w14:textId="77777777">
            <w:pPr>
              <w:pStyle w:val="Tab3MiddleColNonGras"/>
              <w:rPr>
                <w:lang w:val="fr-FR"/>
              </w:rPr>
            </w:pPr>
            <w:r>
              <w:rPr>
                <w:lang w:val="fr-FR"/>
              </w:rPr>
              <w:t>254 783,30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6007727" w14:textId="77777777">
            <w:pPr>
              <w:pStyle w:val="Tab3LastColNonGras"/>
              <w:rPr>
                <w:lang w:val="fr-FR"/>
              </w:rPr>
            </w:pPr>
            <w:r>
              <w:rPr>
                <w:lang w:val="fr-FR"/>
              </w:rPr>
              <w:t>0,07</w:t>
            </w:r>
          </w:p>
        </w:tc>
      </w:tr>
      <w:tr w14:paraId="32D6518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DB8C032" w14:textId="77777777">
            <w:pPr>
              <w:pStyle w:val="Tab3FirstColNonGras"/>
              <w:rPr>
                <w:lang w:val="fr-FR"/>
              </w:rPr>
            </w:pPr>
            <w:r>
              <w:rPr>
                <w:lang w:val="fr-FR"/>
              </w:rPr>
              <w:t>JACOBS SOLUTIONS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3B1FD0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E44DE97" w14:textId="77777777">
            <w:pPr>
              <w:pStyle w:val="Tab3MiddleColNonGras"/>
              <w:rPr>
                <w:lang w:val="fr-FR"/>
              </w:rPr>
            </w:pPr>
            <w:r>
              <w:rPr>
                <w:lang w:val="fr-FR"/>
              </w:rPr>
              <w:t>1 470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31C3A05" w14:textId="77777777">
            <w:pPr>
              <w:pStyle w:val="Tab3MiddleColNonGras"/>
              <w:rPr>
                <w:lang w:val="fr-FR"/>
              </w:rPr>
            </w:pPr>
            <w:r>
              <w:rPr>
                <w:lang w:val="fr-FR"/>
              </w:rPr>
              <w:t>193 231,50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CEAB2B2" w14:textId="77777777">
            <w:pPr>
              <w:pStyle w:val="Tab3LastColNonGras"/>
              <w:rPr>
                <w:lang w:val="fr-FR"/>
              </w:rPr>
            </w:pPr>
            <w:r>
              <w:rPr>
                <w:lang w:val="fr-FR"/>
              </w:rPr>
              <w:t>0,06</w:t>
            </w:r>
          </w:p>
        </w:tc>
      </w:tr>
      <w:tr w14:paraId="2FEA98F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3033D80" w14:textId="77777777">
            <w:pPr>
              <w:pStyle w:val="Tab3FirstColNonGras"/>
              <w:rPr>
                <w:lang w:val="fr-FR"/>
              </w:rPr>
            </w:pPr>
            <w:r>
              <w:rPr>
                <w:lang w:val="fr-FR"/>
              </w:rPr>
              <w:t>KINGSPAN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E5B48F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F0A1F8A" w14:textId="77777777">
            <w:pPr>
              <w:pStyle w:val="Tab3MiddleColNonGras"/>
              <w:rPr>
                <w:lang w:val="fr-FR"/>
              </w:rPr>
            </w:pPr>
            <w:r>
              <w:rPr>
                <w:lang w:val="fr-FR"/>
              </w:rPr>
              <w:t>3 883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268D0BE" w14:textId="77777777">
            <w:pPr>
              <w:pStyle w:val="Tab3MiddleColNonGras"/>
              <w:rPr>
                <w:lang w:val="fr-FR"/>
              </w:rPr>
            </w:pPr>
            <w:r>
              <w:rPr>
                <w:lang w:val="fr-FR"/>
              </w:rPr>
              <w:t>329 091,90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A1CDA2C" w14:textId="77777777">
            <w:pPr>
              <w:pStyle w:val="Tab3LastColNonGras"/>
              <w:rPr>
                <w:lang w:val="fr-FR"/>
              </w:rPr>
            </w:pPr>
            <w:r>
              <w:rPr>
                <w:lang w:val="fr-FR"/>
              </w:rPr>
              <w:t>0,08</w:t>
            </w:r>
          </w:p>
        </w:tc>
      </w:tr>
      <w:tr w14:paraId="08B6A17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5FADA13" w14:textId="77777777">
            <w:pPr>
              <w:pStyle w:val="Tab3FirstColNonGras"/>
              <w:rPr>
                <w:lang w:val="fr-FR"/>
              </w:rPr>
            </w:pPr>
            <w:r>
              <w:rPr>
                <w:lang w:val="fr-FR"/>
              </w:rPr>
              <w:t>MASCO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38CFA6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26ED952" w14:textId="77777777">
            <w:pPr>
              <w:pStyle w:val="Tab3MiddleColNonGras"/>
              <w:rPr>
                <w:lang w:val="fr-FR"/>
              </w:rPr>
            </w:pPr>
            <w:r>
              <w:rPr>
                <w:lang w:val="fr-FR"/>
              </w:rPr>
              <w:t>501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193F675" w14:textId="77777777">
            <w:pPr>
              <w:pStyle w:val="Tab3MiddleColNonGras"/>
              <w:rPr>
                <w:lang w:val="fr-FR"/>
              </w:rPr>
            </w:pPr>
            <w:r>
              <w:rPr>
                <w:lang w:val="fr-FR"/>
              </w:rPr>
              <w:t>32 244,36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462ADE8" w14:textId="77777777">
            <w:pPr>
              <w:pStyle w:val="Tab3LastColNonGras"/>
              <w:rPr>
                <w:lang w:val="fr-FR"/>
              </w:rPr>
            </w:pPr>
            <w:r>
              <w:rPr>
                <w:lang w:val="fr-FR"/>
              </w:rPr>
              <w:t>0,01</w:t>
            </w:r>
          </w:p>
        </w:tc>
      </w:tr>
      <w:tr w14:paraId="0254F18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615CC8DD" w14:textId="77777777">
            <w:pPr>
              <w:pStyle w:val="Tab3FirstColNonGras"/>
              <w:rPr>
                <w:lang w:val="de-DE"/>
              </w:rPr>
            </w:pPr>
            <w:r w:rsidRPr="00D61EB0">
              <w:rPr>
                <w:lang w:val="de-DE"/>
              </w:rPr>
              <w:t>NIBE INDUSTRIER AB-B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F92AB70"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8C7C9C4" w14:textId="77777777">
            <w:pPr>
              <w:pStyle w:val="Tab3MiddleColNonGras"/>
              <w:rPr>
                <w:lang w:val="fr-FR"/>
              </w:rPr>
            </w:pPr>
            <w:r>
              <w:rPr>
                <w:lang w:val="fr-FR"/>
              </w:rPr>
              <w:t>32 766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3945B7E" w14:textId="77777777">
            <w:pPr>
              <w:pStyle w:val="Tab3MiddleColNonGras"/>
              <w:rPr>
                <w:lang w:val="fr-FR"/>
              </w:rPr>
            </w:pPr>
            <w:r>
              <w:rPr>
                <w:lang w:val="fr-FR"/>
              </w:rPr>
              <w:t>138 691,10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D86AAD9" w14:textId="77777777">
            <w:pPr>
              <w:pStyle w:val="Tab3LastColNonGras"/>
              <w:rPr>
                <w:lang w:val="fr-FR"/>
              </w:rPr>
            </w:pPr>
            <w:r>
              <w:rPr>
                <w:lang w:val="fr-FR"/>
              </w:rPr>
              <w:t>0,04</w:t>
            </w:r>
          </w:p>
        </w:tc>
      </w:tr>
      <w:tr w14:paraId="2493062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FC32981" w14:textId="77777777">
            <w:pPr>
              <w:pStyle w:val="Tab3FirstColNonGras"/>
              <w:rPr>
                <w:lang w:val="fr-FR"/>
              </w:rPr>
            </w:pPr>
            <w:r>
              <w:rPr>
                <w:lang w:val="fr-FR"/>
              </w:rPr>
              <w:t>OWENS CORNING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D1C02B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6A0466C" w14:textId="77777777">
            <w:pPr>
              <w:pStyle w:val="Tab3MiddleColNonGras"/>
              <w:rPr>
                <w:lang w:val="fr-FR"/>
              </w:rPr>
            </w:pPr>
            <w:r>
              <w:rPr>
                <w:lang w:val="fr-FR"/>
              </w:rPr>
              <w:t>219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DBA7C52" w14:textId="77777777">
            <w:pPr>
              <w:pStyle w:val="Tab3MiddleColNonGras"/>
              <w:rPr>
                <w:lang w:val="fr-FR"/>
              </w:rPr>
            </w:pPr>
            <w:r>
              <w:rPr>
                <w:lang w:val="fr-FR"/>
              </w:rPr>
              <w:t>30 116,88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6401C85" w14:textId="77777777">
            <w:pPr>
              <w:pStyle w:val="Tab3LastColNonGras"/>
              <w:rPr>
                <w:lang w:val="fr-FR"/>
              </w:rPr>
            </w:pPr>
            <w:r>
              <w:rPr>
                <w:lang w:val="fr-FR"/>
              </w:rPr>
              <w:t>0,01</w:t>
            </w:r>
          </w:p>
        </w:tc>
      </w:tr>
      <w:tr w14:paraId="40C9853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375F552A" w14:textId="77777777">
            <w:pPr>
              <w:pStyle w:val="Tab1FirstColGras"/>
              <w:rPr>
                <w:lang w:val="fr-FR"/>
              </w:rPr>
            </w:pPr>
            <w:r>
              <w:rPr>
                <w:lang w:val="fr-FR"/>
              </w:rPr>
              <w:t>Semi-conducteurs et équipements pour fabrication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5F530E0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04E710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2C53A3EA" w14:textId="77777777">
            <w:pPr>
              <w:pStyle w:val="Tab1MiddleColGras"/>
              <w:rPr>
                <w:lang w:val="fr-FR"/>
              </w:rPr>
            </w:pPr>
            <w:r>
              <w:rPr>
                <w:lang w:val="fr-FR"/>
              </w:rPr>
              <w:t>44 269 216,18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FC41795" w14:textId="77777777">
            <w:pPr>
              <w:pStyle w:val="Tab1LastColGras"/>
              <w:rPr>
                <w:lang w:val="fr-FR"/>
              </w:rPr>
            </w:pPr>
            <w:r>
              <w:rPr>
                <w:lang w:val="fr-FR"/>
              </w:rPr>
              <w:t>12,72</w:t>
            </w:r>
          </w:p>
        </w:tc>
      </w:tr>
      <w:tr w14:paraId="5A25146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E08AA3C" w14:textId="77777777">
            <w:pPr>
              <w:pStyle w:val="Tab3FirstColNonGras"/>
              <w:rPr>
                <w:lang w:val="fr-FR"/>
              </w:rPr>
            </w:pPr>
            <w:r>
              <w:rPr>
                <w:lang w:val="fr-FR"/>
              </w:rPr>
              <w:t>ADVANCED MICRO DEVICES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D77810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C9EFE4E" w14:textId="77777777">
            <w:pPr>
              <w:pStyle w:val="Tab3MiddleColNonGras"/>
              <w:rPr>
                <w:lang w:val="fr-FR"/>
              </w:rPr>
            </w:pPr>
            <w:r>
              <w:rPr>
                <w:lang w:val="fr-FR"/>
              </w:rPr>
              <w:t>19 803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A8ED8DE" w14:textId="77777777">
            <w:pPr>
              <w:pStyle w:val="Tab3MiddleColNonGras"/>
              <w:rPr>
                <w:lang w:val="fr-FR"/>
              </w:rPr>
            </w:pPr>
            <w:r>
              <w:rPr>
                <w:lang w:val="fr-FR"/>
              </w:rPr>
              <w:t>2 810 045,70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5229118" w14:textId="77777777">
            <w:pPr>
              <w:pStyle w:val="Tab3LastColNonGras"/>
              <w:rPr>
                <w:lang w:val="fr-FR"/>
              </w:rPr>
            </w:pPr>
            <w:r>
              <w:rPr>
                <w:lang w:val="fr-FR"/>
              </w:rPr>
              <w:t>0,81</w:t>
            </w:r>
          </w:p>
        </w:tc>
      </w:tr>
      <w:tr w14:paraId="594E764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B8C35E4" w14:textId="77777777">
            <w:pPr>
              <w:pStyle w:val="Tab3FirstColNonGras"/>
              <w:rPr>
                <w:lang w:val="fr-FR"/>
              </w:rPr>
            </w:pPr>
            <w:r>
              <w:rPr>
                <w:lang w:val="fr-FR"/>
              </w:rPr>
              <w:t>ADVANTEST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CFC4572"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500E32E" w14:textId="77777777">
            <w:pPr>
              <w:pStyle w:val="Tab3MiddleColNonGras"/>
              <w:rPr>
                <w:lang w:val="fr-FR"/>
              </w:rPr>
            </w:pPr>
            <w:r>
              <w:rPr>
                <w:lang w:val="fr-FR"/>
              </w:rPr>
              <w:t>8 500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E184176" w14:textId="77777777">
            <w:pPr>
              <w:pStyle w:val="Tab3MiddleColNonGras"/>
              <w:rPr>
                <w:lang w:val="fr-FR"/>
              </w:rPr>
            </w:pPr>
            <w:r>
              <w:rPr>
                <w:lang w:val="fr-FR"/>
              </w:rPr>
              <w:t>627 003,40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3943F55" w14:textId="77777777">
            <w:pPr>
              <w:pStyle w:val="Tab3LastColNonGras"/>
              <w:rPr>
                <w:lang w:val="fr-FR"/>
              </w:rPr>
            </w:pPr>
            <w:r>
              <w:rPr>
                <w:lang w:val="fr-FR"/>
              </w:rPr>
              <w:t>0,18</w:t>
            </w:r>
          </w:p>
        </w:tc>
      </w:tr>
      <w:tr w14:paraId="42CCB7E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21C1F77" w14:textId="77777777">
            <w:pPr>
              <w:pStyle w:val="Tab3FirstColNonGras"/>
              <w:rPr>
                <w:lang w:val="fr-FR"/>
              </w:rPr>
            </w:pPr>
            <w:r>
              <w:rPr>
                <w:lang w:val="fr-FR"/>
              </w:rPr>
              <w:t>BROADCOM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BEFEF5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EBEF2DE" w14:textId="77777777">
            <w:pPr>
              <w:pStyle w:val="Tab3MiddleColNonGras"/>
              <w:rPr>
                <w:lang w:val="fr-FR"/>
              </w:rPr>
            </w:pPr>
            <w:r>
              <w:rPr>
                <w:lang w:val="fr-FR"/>
              </w:rPr>
              <w:t>50 653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E780318" w14:textId="77777777">
            <w:pPr>
              <w:pStyle w:val="Tab3MiddleColNonGras"/>
              <w:rPr>
                <w:lang w:val="fr-FR"/>
              </w:rPr>
            </w:pPr>
            <w:r>
              <w:rPr>
                <w:lang w:val="fr-FR"/>
              </w:rPr>
              <w:t>13 962 499,45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D1B7E65" w14:textId="77777777">
            <w:pPr>
              <w:pStyle w:val="Tab3LastColNonGras"/>
              <w:rPr>
                <w:lang w:val="fr-FR"/>
              </w:rPr>
            </w:pPr>
            <w:r>
              <w:rPr>
                <w:lang w:val="fr-FR"/>
              </w:rPr>
              <w:t>4,01</w:t>
            </w:r>
          </w:p>
        </w:tc>
      </w:tr>
      <w:tr w14:paraId="3B08D17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2B77F71" w14:textId="77777777">
            <w:pPr>
              <w:pStyle w:val="Tab3FirstColNonGras"/>
              <w:rPr>
                <w:lang w:val="fr-FR"/>
              </w:rPr>
            </w:pPr>
            <w:r>
              <w:rPr>
                <w:lang w:val="fr-FR"/>
              </w:rPr>
              <w:t>DISCO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4A0F52F"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DEACB76" w14:textId="77777777">
            <w:pPr>
              <w:pStyle w:val="Tab3MiddleColNonGras"/>
              <w:rPr>
                <w:lang w:val="fr-FR"/>
              </w:rPr>
            </w:pPr>
            <w:r>
              <w:rPr>
                <w:lang w:val="fr-FR"/>
              </w:rPr>
              <w:t>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38C6155" w14:textId="77777777">
            <w:pPr>
              <w:pStyle w:val="Tab3MiddleColNonGras"/>
              <w:rPr>
                <w:lang w:val="fr-FR"/>
              </w:rPr>
            </w:pPr>
            <w:r>
              <w:rPr>
                <w:lang w:val="fr-FR"/>
              </w:rPr>
              <w:t>265 616,69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B7ED046" w14:textId="77777777">
            <w:pPr>
              <w:pStyle w:val="Tab3LastColNonGras"/>
              <w:rPr>
                <w:lang w:val="fr-FR"/>
              </w:rPr>
            </w:pPr>
            <w:r>
              <w:rPr>
                <w:lang w:val="fr-FR"/>
              </w:rPr>
              <w:t>0,08</w:t>
            </w:r>
          </w:p>
        </w:tc>
      </w:tr>
      <w:tr w14:paraId="65DC410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C58995F" w14:textId="77777777">
            <w:pPr>
              <w:pStyle w:val="Tab3FirstColNonGras"/>
              <w:rPr>
                <w:lang w:val="fr-FR"/>
              </w:rPr>
            </w:pPr>
            <w:r>
              <w:rPr>
                <w:lang w:val="fr-FR"/>
              </w:rPr>
              <w:t>FIRST SOLAR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E00B4D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C277CF2" w14:textId="77777777">
            <w:pPr>
              <w:pStyle w:val="Tab3MiddleColNonGras"/>
              <w:rPr>
                <w:lang w:val="fr-FR"/>
              </w:rPr>
            </w:pPr>
            <w:r>
              <w:rPr>
                <w:lang w:val="fr-FR"/>
              </w:rPr>
              <w:t>3 599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1F110A6" w14:textId="77777777">
            <w:pPr>
              <w:pStyle w:val="Tab3MiddleColNonGras"/>
              <w:rPr>
                <w:lang w:val="fr-FR"/>
              </w:rPr>
            </w:pPr>
            <w:r>
              <w:rPr>
                <w:lang w:val="fr-FR"/>
              </w:rPr>
              <w:t>595 778,46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818AE1B" w14:textId="77777777">
            <w:pPr>
              <w:pStyle w:val="Tab3LastColNonGras"/>
              <w:rPr>
                <w:lang w:val="fr-FR"/>
              </w:rPr>
            </w:pPr>
            <w:r>
              <w:rPr>
                <w:lang w:val="fr-FR"/>
              </w:rPr>
              <w:t>0,17</w:t>
            </w:r>
          </w:p>
        </w:tc>
      </w:tr>
      <w:tr w14:paraId="1445AE5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DB7E098" w14:textId="77777777">
            <w:pPr>
              <w:pStyle w:val="Tab3FirstColNonGras"/>
              <w:rPr>
                <w:lang w:val="fr-FR"/>
              </w:rPr>
            </w:pPr>
            <w:r>
              <w:rPr>
                <w:lang w:val="fr-FR"/>
              </w:rPr>
              <w:t>INFINEON TECHNOLOGIES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22FF76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5329ECE" w14:textId="77777777">
            <w:pPr>
              <w:pStyle w:val="Tab3MiddleColNonGras"/>
              <w:rPr>
                <w:lang w:val="fr-FR"/>
              </w:rPr>
            </w:pPr>
            <w:r>
              <w:rPr>
                <w:lang w:val="fr-FR"/>
              </w:rPr>
              <w:t>12 025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20318C2" w14:textId="77777777">
            <w:pPr>
              <w:pStyle w:val="Tab3MiddleColNonGras"/>
              <w:rPr>
                <w:lang w:val="fr-FR"/>
              </w:rPr>
            </w:pPr>
            <w:r>
              <w:rPr>
                <w:lang w:val="fr-FR"/>
              </w:rPr>
              <w:t>509 782,96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BD98EBC" w14:textId="77777777">
            <w:pPr>
              <w:pStyle w:val="Tab3LastColNonGras"/>
              <w:rPr>
                <w:lang w:val="fr-FR"/>
              </w:rPr>
            </w:pPr>
            <w:r>
              <w:rPr>
                <w:lang w:val="fr-FR"/>
              </w:rPr>
              <w:t>0,15</w:t>
            </w:r>
          </w:p>
        </w:tc>
      </w:tr>
      <w:tr w14:paraId="0B72ECC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03E3D1C" w14:textId="77777777">
            <w:pPr>
              <w:pStyle w:val="Tab3FirstColNonGras"/>
              <w:rPr>
                <w:lang w:val="fr-FR"/>
              </w:rPr>
            </w:pPr>
            <w:r>
              <w:rPr>
                <w:lang w:val="fr-FR"/>
              </w:rPr>
              <w:t>INTEL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EBB3E8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05A9556" w14:textId="77777777">
            <w:pPr>
              <w:pStyle w:val="Tab3MiddleColNonGras"/>
              <w:rPr>
                <w:lang w:val="fr-FR"/>
              </w:rPr>
            </w:pPr>
            <w:r>
              <w:rPr>
                <w:lang w:val="fr-FR"/>
              </w:rPr>
              <w:t>43 788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E1FEB6B" w14:textId="77777777">
            <w:pPr>
              <w:pStyle w:val="Tab3MiddleColNonGras"/>
              <w:rPr>
                <w:lang w:val="fr-FR"/>
              </w:rPr>
            </w:pPr>
            <w:r>
              <w:rPr>
                <w:lang w:val="fr-FR"/>
              </w:rPr>
              <w:t>980 851,20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997465C" w14:textId="77777777">
            <w:pPr>
              <w:pStyle w:val="Tab3LastColNonGras"/>
              <w:rPr>
                <w:lang w:val="fr-FR"/>
              </w:rPr>
            </w:pPr>
            <w:r>
              <w:rPr>
                <w:lang w:val="fr-FR"/>
              </w:rPr>
              <w:t>0,28</w:t>
            </w:r>
          </w:p>
        </w:tc>
      </w:tr>
      <w:tr w14:paraId="7F6B9C9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2F227FE" w14:textId="77777777">
            <w:pPr>
              <w:pStyle w:val="Tab3FirstColNonGras"/>
              <w:rPr>
                <w:lang w:val="fr-FR"/>
              </w:rPr>
            </w:pPr>
            <w:r>
              <w:rPr>
                <w:lang w:val="fr-FR"/>
              </w:rPr>
              <w:t>KLA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EF520B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CF5572A" w14:textId="77777777">
            <w:pPr>
              <w:pStyle w:val="Tab3MiddleColNonGras"/>
              <w:rPr>
                <w:lang w:val="fr-FR"/>
              </w:rPr>
            </w:pPr>
            <w:r>
              <w:rPr>
                <w:lang w:val="fr-FR"/>
              </w:rPr>
              <w:t>1 487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B1DA6B2" w14:textId="77777777">
            <w:pPr>
              <w:pStyle w:val="Tab3MiddleColNonGras"/>
              <w:rPr>
                <w:lang w:val="fr-FR"/>
              </w:rPr>
            </w:pPr>
            <w:r>
              <w:rPr>
                <w:lang w:val="fr-FR"/>
              </w:rPr>
              <w:t>1 331 965,38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B90DC98" w14:textId="77777777">
            <w:pPr>
              <w:pStyle w:val="Tab3LastColNonGras"/>
              <w:rPr>
                <w:lang w:val="fr-FR"/>
              </w:rPr>
            </w:pPr>
            <w:r>
              <w:rPr>
                <w:lang w:val="fr-FR"/>
              </w:rPr>
              <w:t>0,38</w:t>
            </w:r>
          </w:p>
        </w:tc>
      </w:tr>
      <w:tr w14:paraId="367C8FA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E624F80" w14:textId="77777777">
            <w:pPr>
              <w:pStyle w:val="Tab3FirstColNonGras"/>
              <w:rPr>
                <w:lang w:val="fr-FR"/>
              </w:rPr>
            </w:pPr>
            <w:r>
              <w:rPr>
                <w:lang w:val="fr-FR"/>
              </w:rPr>
              <w:t>LASERTEC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C90BFD5"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81C4284" w14:textId="77777777">
            <w:pPr>
              <w:pStyle w:val="Tab3MiddleColNonGras"/>
              <w:rPr>
                <w:lang w:val="fr-FR"/>
              </w:rPr>
            </w:pPr>
            <w:r>
              <w:rPr>
                <w:lang w:val="fr-FR"/>
              </w:rPr>
              <w:t>1 200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F30B0C5" w14:textId="77777777">
            <w:pPr>
              <w:pStyle w:val="Tab3MiddleColNonGras"/>
              <w:rPr>
                <w:lang w:val="fr-FR"/>
              </w:rPr>
            </w:pPr>
            <w:r>
              <w:rPr>
                <w:lang w:val="fr-FR"/>
              </w:rPr>
              <w:t>161 251,70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9FA6836" w14:textId="77777777">
            <w:pPr>
              <w:pStyle w:val="Tab3LastColNonGras"/>
              <w:rPr>
                <w:lang w:val="fr-FR"/>
              </w:rPr>
            </w:pPr>
            <w:r>
              <w:rPr>
                <w:lang w:val="fr-FR"/>
              </w:rPr>
              <w:t>0,05</w:t>
            </w:r>
          </w:p>
        </w:tc>
      </w:tr>
      <w:tr w14:paraId="7FCE122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39F9756" w14:textId="77777777">
            <w:pPr>
              <w:pStyle w:val="Tab3FirstColNonGras"/>
              <w:rPr>
                <w:lang w:val="fr-FR"/>
              </w:rPr>
            </w:pPr>
            <w:r>
              <w:rPr>
                <w:lang w:val="fr-FR"/>
              </w:rPr>
              <w:t>MARVELL TECHNOLOGY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C7DBBB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E9871BD" w14:textId="77777777">
            <w:pPr>
              <w:pStyle w:val="Tab3MiddleColNonGras"/>
              <w:rPr>
                <w:lang w:val="fr-FR"/>
              </w:rPr>
            </w:pPr>
            <w:r>
              <w:rPr>
                <w:lang w:val="fr-FR"/>
              </w:rPr>
              <w:t>23 408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9505A78" w14:textId="77777777">
            <w:pPr>
              <w:pStyle w:val="Tab3MiddleColNonGras"/>
              <w:rPr>
                <w:lang w:val="fr-FR"/>
              </w:rPr>
            </w:pPr>
            <w:r>
              <w:rPr>
                <w:lang w:val="fr-FR"/>
              </w:rPr>
              <w:t>1 811 779,20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AAB7C58" w14:textId="77777777">
            <w:pPr>
              <w:pStyle w:val="Tab3LastColNonGras"/>
              <w:rPr>
                <w:lang w:val="fr-FR"/>
              </w:rPr>
            </w:pPr>
            <w:r>
              <w:rPr>
                <w:lang w:val="fr-FR"/>
              </w:rPr>
              <w:t>0,52</w:t>
            </w:r>
          </w:p>
        </w:tc>
      </w:tr>
      <w:tr w14:paraId="58DE694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F9A9E36" w14:textId="77777777">
            <w:pPr>
              <w:pStyle w:val="Tab3FirstColNonGras"/>
              <w:rPr>
                <w:lang w:val="fr-FR"/>
              </w:rPr>
            </w:pPr>
            <w:r>
              <w:rPr>
                <w:lang w:val="fr-FR"/>
              </w:rPr>
              <w:t>MICROCHIP TECHNOLOGY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9B43AD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241E694" w14:textId="77777777">
            <w:pPr>
              <w:pStyle w:val="Tab3MiddleColNonGras"/>
              <w:rPr>
                <w:lang w:val="fr-FR"/>
              </w:rPr>
            </w:pPr>
            <w:r>
              <w:rPr>
                <w:lang w:val="fr-FR"/>
              </w:rPr>
              <w:t>5 920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5379682" w14:textId="77777777">
            <w:pPr>
              <w:pStyle w:val="Tab3MiddleColNonGras"/>
              <w:rPr>
                <w:lang w:val="fr-FR"/>
              </w:rPr>
            </w:pPr>
            <w:r>
              <w:rPr>
                <w:lang w:val="fr-FR"/>
              </w:rPr>
              <w:t>416 590,40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095AB6F" w14:textId="77777777">
            <w:pPr>
              <w:pStyle w:val="Tab3LastColNonGras"/>
              <w:rPr>
                <w:lang w:val="fr-FR"/>
              </w:rPr>
            </w:pPr>
            <w:r>
              <w:rPr>
                <w:lang w:val="fr-FR"/>
              </w:rPr>
              <w:t>0,12</w:t>
            </w:r>
          </w:p>
        </w:tc>
      </w:tr>
    </w:tbl>
    <w:p w:rsidR="001F4AEE" w14:paraId="6779020F" w14:textId="77777777">
      <w:pPr>
        <w:sectPr>
          <w:headerReference w:type="default" r:id="rId52"/>
          <w:footerReference w:type="default" r:id="rId53"/>
          <w:pgSz w:w="11900" w:h="16840"/>
          <w:pgMar w:top="2154" w:right="1134" w:bottom="1134" w:left="1134" w:header="400" w:footer="400" w:gutter="0"/>
          <w:cols w:space="720"/>
        </w:sectPr>
      </w:pPr>
    </w:p>
    <w:p w:rsidR="001F4AEE" w14:paraId="2850E7AC" w14:textId="77777777">
      <w:pPr>
        <w:spacing w:line="30" w:lineRule="exact"/>
        <w:rPr>
          <w:sz w:val="3"/>
        </w:rPr>
      </w:pPr>
    </w:p>
    <w:p w:rsidR="001F4AEE" w14:paraId="42D46C61" w14:textId="77777777">
      <w:pPr>
        <w:pStyle w:val="TechnicalBookmark"/>
        <w:rPr>
          <w:lang w:val="fr-FR"/>
        </w:rPr>
      </w:pPr>
      <w:r>
        <w:rPr>
          <w:lang w:val="fr-FR"/>
        </w:rPr>
        <w:fldChar w:fldCharType="begin"/>
      </w:r>
      <w:r>
        <w:rPr>
          <w:lang w:val="fr-FR"/>
        </w:rPr>
        <w:instrText xml:space="preserve"> SET F82427C7685B8FCA5621A043446188DA "" </w:instrText>
      </w:r>
      <w:r>
        <w:rPr>
          <w:lang w:val="fr-FR"/>
        </w:rPr>
        <w:fldChar w:fldCharType="separate"/>
      </w:r>
      <w:bookmarkStart w:id="108" w:name="F82427C7685B8FCA5621A043446188DA"/>
      <w:bookmarkEnd w:id="108"/>
      <w:r>
        <w:rPr>
          <w:lang w:val="fr-FR"/>
        </w:rPr>
        <w:fldChar w:fldCharType="end"/>
      </w:r>
    </w:p>
    <w:p w:rsidR="001F4AEE" w14:paraId="6A4E963C" w14:textId="77777777">
      <w:pPr>
        <w:pStyle w:val="H2"/>
        <w:rPr>
          <w:lang w:val="fr-FR"/>
        </w:rPr>
      </w:pPr>
      <w:r>
        <w:rPr>
          <w:lang w:val="fr-FR"/>
        </w:rPr>
        <w:t xml:space="preserve">Inventaire des éléments de bilan </w:t>
      </w:r>
    </w:p>
    <w:p w:rsidR="001F4AEE" w14:paraId="63E66332" w14:textId="77777777">
      <w:pPr>
        <w:pStyle w:val="NoRefToc"/>
        <w:rPr>
          <w:lang w:val="fr-FR"/>
        </w:rPr>
      </w:pPr>
    </w:p>
    <w:p w:rsidR="001F4AEE" w14:paraId="1878687B" w14:textId="77777777">
      <w:pPr>
        <w:pStyle w:val="TechnicalBookmark"/>
        <w:rPr>
          <w:lang w:val="fr-FR"/>
        </w:rPr>
      </w:pPr>
      <w:r>
        <w:rPr>
          <w:lang w:val="fr-FR"/>
        </w:rPr>
        <w:fldChar w:fldCharType="begin"/>
      </w:r>
      <w:r>
        <w:rPr>
          <w:lang w:val="fr-FR"/>
        </w:rPr>
        <w:instrText xml:space="preserve"> SET 53EB3D47A34026B9B413C00ECF15D400 "" </w:instrText>
      </w:r>
      <w:r>
        <w:rPr>
          <w:lang w:val="fr-FR"/>
        </w:rPr>
        <w:fldChar w:fldCharType="separate"/>
      </w:r>
      <w:bookmarkStart w:id="109" w:name="53EB3D47A34026B9B413C00ECF15D400"/>
      <w:bookmarkEnd w:id="109"/>
      <w:r>
        <w:rPr>
          <w:lang w:val="fr-FR"/>
        </w:rPr>
        <w:fldChar w:fldCharType="end"/>
      </w:r>
    </w:p>
    <w:p w:rsidR="001F4AEE" w14:paraId="5E4CFF10"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7CC27BB1"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4AE1F47C"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96D138F"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48943EF9" w14:textId="77777777">
            <w:pPr>
              <w:pStyle w:val="EnteteTabMiddleColBordure"/>
              <w:spacing w:line="184" w:lineRule="exact"/>
              <w:rPr>
                <w:lang w:val="fr-FR"/>
              </w:rPr>
            </w:pPr>
            <w:r>
              <w:rPr>
                <w:lang w:val="fr-FR"/>
              </w:rPr>
              <w:t>Quantité ou</w:t>
            </w:r>
          </w:p>
          <w:p w:rsidR="001F4AEE" w14:paraId="7A40B11E"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1ED7C3DC"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5681A16B" w14:textId="77777777">
            <w:pPr>
              <w:pStyle w:val="EnteteTabLastColBordure"/>
              <w:spacing w:line="184" w:lineRule="exact"/>
              <w:rPr>
                <w:lang w:val="fr-FR"/>
              </w:rPr>
            </w:pPr>
            <w:r>
              <w:rPr>
                <w:lang w:val="fr-FR"/>
              </w:rPr>
              <w:t>% Actif</w:t>
            </w:r>
          </w:p>
          <w:p w:rsidR="001F4AEE" w14:paraId="461A5F30" w14:textId="77777777">
            <w:pPr>
              <w:pStyle w:val="EnteteTabLastColBordure"/>
              <w:spacing w:line="184" w:lineRule="exact"/>
              <w:rPr>
                <w:lang w:val="fr-FR"/>
              </w:rPr>
            </w:pPr>
            <w:r>
              <w:rPr>
                <w:lang w:val="fr-FR"/>
              </w:rPr>
              <w:t>Net</w:t>
            </w:r>
          </w:p>
        </w:tc>
      </w:tr>
      <w:tr w14:paraId="3E77259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C102B8A" w14:textId="77777777">
            <w:pPr>
              <w:pStyle w:val="Tab3FirstColNonGras"/>
              <w:rPr>
                <w:lang w:val="fr-FR"/>
              </w:rPr>
            </w:pPr>
            <w:r>
              <w:rPr>
                <w:lang w:val="fr-FR"/>
              </w:rPr>
              <w:t>MICRON TECHNOLOGY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36318E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BBE8872" w14:textId="77777777">
            <w:pPr>
              <w:pStyle w:val="Tab3MiddleColNonGras"/>
              <w:rPr>
                <w:lang w:val="fr-FR"/>
              </w:rPr>
            </w:pPr>
            <w:r>
              <w:rPr>
                <w:lang w:val="fr-FR"/>
              </w:rPr>
              <w:t>11 587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78537EF" w14:textId="77777777">
            <w:pPr>
              <w:pStyle w:val="Tab3MiddleColNonGras"/>
              <w:rPr>
                <w:lang w:val="fr-FR"/>
              </w:rPr>
            </w:pPr>
            <w:r>
              <w:rPr>
                <w:lang w:val="fr-FR"/>
              </w:rPr>
              <w:t>1 428 097,75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CBFA058" w14:textId="77777777">
            <w:pPr>
              <w:pStyle w:val="Tab3LastColNonGras"/>
              <w:rPr>
                <w:lang w:val="fr-FR"/>
              </w:rPr>
            </w:pPr>
            <w:r>
              <w:rPr>
                <w:lang w:val="fr-FR"/>
              </w:rPr>
              <w:t>0,41</w:t>
            </w:r>
          </w:p>
        </w:tc>
      </w:tr>
      <w:tr w14:paraId="4901FEE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BEAC31C" w14:textId="77777777">
            <w:pPr>
              <w:pStyle w:val="Tab3FirstColNonGras"/>
              <w:rPr>
                <w:lang w:val="fr-FR"/>
              </w:rPr>
            </w:pPr>
            <w:r>
              <w:rPr>
                <w:lang w:val="fr-FR"/>
              </w:rPr>
              <w:t>MONOLITHIC POWER SYSTEMS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84C098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816395E" w14:textId="77777777">
            <w:pPr>
              <w:pStyle w:val="Tab3MiddleColNonGras"/>
              <w:rPr>
                <w:lang w:val="fr-FR"/>
              </w:rPr>
            </w:pPr>
            <w:r>
              <w:rPr>
                <w:lang w:val="fr-FR"/>
              </w:rPr>
              <w:t>536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7A37CFA" w14:textId="77777777">
            <w:pPr>
              <w:pStyle w:val="Tab3MiddleColNonGras"/>
              <w:rPr>
                <w:lang w:val="fr-FR"/>
              </w:rPr>
            </w:pPr>
            <w:r>
              <w:rPr>
                <w:lang w:val="fr-FR"/>
              </w:rPr>
              <w:t>392 019,68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5FE54A4" w14:textId="77777777">
            <w:pPr>
              <w:pStyle w:val="Tab3LastColNonGras"/>
              <w:rPr>
                <w:lang w:val="fr-FR"/>
              </w:rPr>
            </w:pPr>
            <w:r>
              <w:rPr>
                <w:lang w:val="fr-FR"/>
              </w:rPr>
              <w:t>0,11</w:t>
            </w:r>
          </w:p>
        </w:tc>
      </w:tr>
      <w:tr w14:paraId="1FA4F7B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C9CD043" w14:textId="77777777">
            <w:pPr>
              <w:pStyle w:val="Tab3FirstColNonGras"/>
              <w:rPr>
                <w:lang w:val="fr-FR"/>
              </w:rPr>
            </w:pPr>
            <w:r>
              <w:rPr>
                <w:lang w:val="fr-FR"/>
              </w:rPr>
              <w:t>NVIDIA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6EE8D3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8ABEF44" w14:textId="77777777">
            <w:pPr>
              <w:pStyle w:val="Tab3MiddleColNonGras"/>
              <w:rPr>
                <w:lang w:val="fr-FR"/>
              </w:rPr>
            </w:pPr>
            <w:r>
              <w:rPr>
                <w:lang w:val="fr-FR"/>
              </w:rPr>
              <w:t>98 834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706C259" w14:textId="77777777">
            <w:pPr>
              <w:pStyle w:val="Tab3MiddleColNonGras"/>
              <w:rPr>
                <w:lang w:val="fr-FR"/>
              </w:rPr>
            </w:pPr>
            <w:r>
              <w:rPr>
                <w:lang w:val="fr-FR"/>
              </w:rPr>
              <w:t>15 614 783,66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95A7E1C" w14:textId="77777777">
            <w:pPr>
              <w:pStyle w:val="Tab3LastColNonGras"/>
              <w:rPr>
                <w:lang w:val="fr-FR"/>
              </w:rPr>
            </w:pPr>
            <w:r>
              <w:rPr>
                <w:lang w:val="fr-FR"/>
              </w:rPr>
              <w:t>4,49</w:t>
            </w:r>
          </w:p>
        </w:tc>
      </w:tr>
      <w:tr w14:paraId="13AF0E0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6BF6DDD" w14:textId="77777777">
            <w:pPr>
              <w:pStyle w:val="Tab3FirstColNonGras"/>
              <w:rPr>
                <w:lang w:val="fr-FR"/>
              </w:rPr>
            </w:pPr>
            <w:r>
              <w:rPr>
                <w:lang w:val="fr-FR"/>
              </w:rPr>
              <w:t>NXP SEMICONDUCTORS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8E676F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C6F176E" w14:textId="77777777">
            <w:pPr>
              <w:pStyle w:val="Tab3MiddleColNonGras"/>
              <w:rPr>
                <w:lang w:val="fr-FR"/>
              </w:rPr>
            </w:pPr>
            <w:r>
              <w:rPr>
                <w:lang w:val="fr-FR"/>
              </w:rPr>
              <w:t>2 493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CE2C328" w14:textId="77777777">
            <w:pPr>
              <w:pStyle w:val="Tab3MiddleColNonGras"/>
              <w:rPr>
                <w:lang w:val="fr-FR"/>
              </w:rPr>
            </w:pPr>
            <w:r>
              <w:rPr>
                <w:lang w:val="fr-FR"/>
              </w:rPr>
              <w:t>544 695,57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265BA77" w14:textId="77777777">
            <w:pPr>
              <w:pStyle w:val="Tab3LastColNonGras"/>
              <w:rPr>
                <w:lang w:val="fr-FR"/>
              </w:rPr>
            </w:pPr>
            <w:r>
              <w:rPr>
                <w:lang w:val="fr-FR"/>
              </w:rPr>
              <w:t>0,16</w:t>
            </w:r>
          </w:p>
        </w:tc>
      </w:tr>
      <w:tr w14:paraId="2BD8201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DBA9949" w14:textId="77777777">
            <w:pPr>
              <w:pStyle w:val="Tab3FirstColNonGras"/>
              <w:rPr>
                <w:lang w:val="fr-FR"/>
              </w:rPr>
            </w:pPr>
            <w:r>
              <w:rPr>
                <w:lang w:val="fr-FR"/>
              </w:rPr>
              <w:t>ON SEMICONDUCTOR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A97557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AB6AF2A" w14:textId="77777777">
            <w:pPr>
              <w:pStyle w:val="Tab3MiddleColNonGras"/>
              <w:rPr>
                <w:lang w:val="fr-FR"/>
              </w:rPr>
            </w:pPr>
            <w:r>
              <w:rPr>
                <w:lang w:val="fr-FR"/>
              </w:rPr>
              <w:t>3 534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D6ABE8B" w14:textId="77777777">
            <w:pPr>
              <w:pStyle w:val="Tab3MiddleColNonGras"/>
              <w:rPr>
                <w:lang w:val="fr-FR"/>
              </w:rPr>
            </w:pPr>
            <w:r>
              <w:rPr>
                <w:lang w:val="fr-FR"/>
              </w:rPr>
              <w:t>185 216,94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31C9DA1" w14:textId="77777777">
            <w:pPr>
              <w:pStyle w:val="Tab3LastColNonGras"/>
              <w:rPr>
                <w:lang w:val="fr-FR"/>
              </w:rPr>
            </w:pPr>
            <w:r>
              <w:rPr>
                <w:lang w:val="fr-FR"/>
              </w:rPr>
              <w:t>0,05</w:t>
            </w:r>
          </w:p>
        </w:tc>
      </w:tr>
      <w:tr w14:paraId="08CA30A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D544D9B" w14:textId="77777777">
            <w:pPr>
              <w:pStyle w:val="Tab3FirstColNonGras"/>
              <w:rPr>
                <w:lang w:val="fr-FR"/>
              </w:rPr>
            </w:pPr>
            <w:r>
              <w:rPr>
                <w:lang w:val="fr-FR"/>
              </w:rPr>
              <w:t>RENESAS ELECTRONICS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631E3B6"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2F9A3FF" w14:textId="77777777">
            <w:pPr>
              <w:pStyle w:val="Tab3MiddleColNonGras"/>
              <w:rPr>
                <w:lang w:val="fr-FR"/>
              </w:rPr>
            </w:pPr>
            <w:r>
              <w:rPr>
                <w:lang w:val="fr-FR"/>
              </w:rPr>
              <w:t>15 700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E15302C" w14:textId="77777777">
            <w:pPr>
              <w:pStyle w:val="Tab3MiddleColNonGras"/>
              <w:rPr>
                <w:lang w:val="fr-FR"/>
              </w:rPr>
            </w:pPr>
            <w:r>
              <w:rPr>
                <w:lang w:val="fr-FR"/>
              </w:rPr>
              <w:t>194 449,80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DE5ED37" w14:textId="77777777">
            <w:pPr>
              <w:pStyle w:val="Tab3LastColNonGras"/>
              <w:rPr>
                <w:lang w:val="fr-FR"/>
              </w:rPr>
            </w:pPr>
            <w:r>
              <w:rPr>
                <w:lang w:val="fr-FR"/>
              </w:rPr>
              <w:t>0,06</w:t>
            </w:r>
          </w:p>
        </w:tc>
      </w:tr>
      <w:tr w14:paraId="0E2CEC7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FB9FA38" w14:textId="77777777">
            <w:pPr>
              <w:pStyle w:val="Tab3FirstColNonGras"/>
              <w:rPr>
                <w:lang w:val="fr-FR"/>
              </w:rPr>
            </w:pPr>
            <w:r>
              <w:rPr>
                <w:lang w:val="fr-FR"/>
              </w:rPr>
              <w:t>SCREEN HOLDINGS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CC117FA"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6C19F4D" w14:textId="77777777">
            <w:pPr>
              <w:pStyle w:val="Tab3MiddleColNonGras"/>
              <w:rPr>
                <w:lang w:val="fr-FR"/>
              </w:rPr>
            </w:pPr>
            <w:r>
              <w:rPr>
                <w:lang w:val="fr-FR"/>
              </w:rPr>
              <w:t>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D08F968" w14:textId="77777777">
            <w:pPr>
              <w:pStyle w:val="Tab3MiddleColNonGras"/>
              <w:rPr>
                <w:lang w:val="fr-FR"/>
              </w:rPr>
            </w:pPr>
            <w:r>
              <w:rPr>
                <w:lang w:val="fr-FR"/>
              </w:rPr>
              <w:t>73 273,57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C54D99A" w14:textId="77777777">
            <w:pPr>
              <w:pStyle w:val="Tab3LastColNonGras"/>
              <w:rPr>
                <w:lang w:val="fr-FR"/>
              </w:rPr>
            </w:pPr>
            <w:r>
              <w:rPr>
                <w:lang w:val="fr-FR"/>
              </w:rPr>
              <w:t>0,02</w:t>
            </w:r>
          </w:p>
        </w:tc>
      </w:tr>
      <w:tr w14:paraId="6AF2971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C77A2DC" w14:textId="77777777">
            <w:pPr>
              <w:pStyle w:val="Tab3FirstColNonGras"/>
              <w:rPr>
                <w:lang w:val="fr-FR"/>
              </w:rPr>
            </w:pPr>
            <w:r>
              <w:rPr>
                <w:lang w:val="fr-FR"/>
              </w:rPr>
              <w:t>STMICROELECTRONICS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4AFBCC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4E9AC4E" w14:textId="77777777">
            <w:pPr>
              <w:pStyle w:val="Tab3MiddleColNonGras"/>
              <w:rPr>
                <w:lang w:val="fr-FR"/>
              </w:rPr>
            </w:pPr>
            <w:r>
              <w:rPr>
                <w:lang w:val="fr-FR"/>
              </w:rPr>
              <w:t>2 815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38404E7" w14:textId="77777777">
            <w:pPr>
              <w:pStyle w:val="Tab3MiddleColNonGras"/>
              <w:rPr>
                <w:lang w:val="fr-FR"/>
              </w:rPr>
            </w:pPr>
            <w:r>
              <w:rPr>
                <w:lang w:val="fr-FR"/>
              </w:rPr>
              <w:t>85 732,35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ABCE037" w14:textId="77777777">
            <w:pPr>
              <w:pStyle w:val="Tab3LastColNonGras"/>
              <w:rPr>
                <w:lang w:val="fr-FR"/>
              </w:rPr>
            </w:pPr>
            <w:r>
              <w:rPr>
                <w:lang w:val="fr-FR"/>
              </w:rPr>
              <w:t>0,02</w:t>
            </w:r>
          </w:p>
        </w:tc>
      </w:tr>
      <w:tr w14:paraId="2BF5EDA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79A2F07" w14:textId="77777777">
            <w:pPr>
              <w:pStyle w:val="Tab3FirstColNonGras"/>
              <w:rPr>
                <w:lang w:val="fr-FR"/>
              </w:rPr>
            </w:pPr>
            <w:r>
              <w:rPr>
                <w:lang w:val="fr-FR"/>
              </w:rPr>
              <w:t>TERADYNE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10B273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3ED2733" w14:textId="77777777">
            <w:pPr>
              <w:pStyle w:val="Tab3MiddleColNonGras"/>
              <w:rPr>
                <w:lang w:val="fr-FR"/>
              </w:rPr>
            </w:pPr>
            <w:r>
              <w:rPr>
                <w:lang w:val="fr-FR"/>
              </w:rPr>
              <w:t>1 623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C05B9DA" w14:textId="77777777">
            <w:pPr>
              <w:pStyle w:val="Tab3MiddleColNonGras"/>
              <w:rPr>
                <w:lang w:val="fr-FR"/>
              </w:rPr>
            </w:pPr>
            <w:r>
              <w:rPr>
                <w:lang w:val="fr-FR"/>
              </w:rPr>
              <w:t>145 940,16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2B7B05F" w14:textId="77777777">
            <w:pPr>
              <w:pStyle w:val="Tab3LastColNonGras"/>
              <w:rPr>
                <w:lang w:val="fr-FR"/>
              </w:rPr>
            </w:pPr>
            <w:r>
              <w:rPr>
                <w:lang w:val="fr-FR"/>
              </w:rPr>
              <w:t>0,04</w:t>
            </w:r>
          </w:p>
        </w:tc>
      </w:tr>
      <w:tr w14:paraId="3805141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4A9E70C" w14:textId="77777777">
            <w:pPr>
              <w:pStyle w:val="Tab3FirstColNonGras"/>
              <w:rPr>
                <w:lang w:val="fr-FR"/>
              </w:rPr>
            </w:pPr>
            <w:r>
              <w:rPr>
                <w:lang w:val="fr-FR"/>
              </w:rPr>
              <w:t>TEXAS INSTRUMENTS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5117B9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AC04873" w14:textId="77777777">
            <w:pPr>
              <w:pStyle w:val="Tab3MiddleColNonGras"/>
              <w:rPr>
                <w:lang w:val="fr-FR"/>
              </w:rPr>
            </w:pPr>
            <w:r>
              <w:rPr>
                <w:lang w:val="fr-FR"/>
              </w:rPr>
              <w:t>10 268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DA81468" w14:textId="77777777">
            <w:pPr>
              <w:pStyle w:val="Tab3MiddleColNonGras"/>
              <w:rPr>
                <w:lang w:val="fr-FR"/>
              </w:rPr>
            </w:pPr>
            <w:r>
              <w:rPr>
                <w:lang w:val="fr-FR"/>
              </w:rPr>
              <w:t>2 131 842,16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423AF34" w14:textId="77777777">
            <w:pPr>
              <w:pStyle w:val="Tab3LastColNonGras"/>
              <w:rPr>
                <w:lang w:val="fr-FR"/>
              </w:rPr>
            </w:pPr>
            <w:r>
              <w:rPr>
                <w:lang w:val="fr-FR"/>
              </w:rPr>
              <w:t>0,61</w:t>
            </w:r>
          </w:p>
        </w:tc>
      </w:tr>
      <w:tr w14:paraId="7F2F2022"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35DF902A" w14:textId="77777777">
            <w:pPr>
              <w:pStyle w:val="Tab1FirstColGras"/>
              <w:rPr>
                <w:lang w:val="fr-FR"/>
              </w:rPr>
            </w:pPr>
            <w:r>
              <w:rPr>
                <w:lang w:val="fr-FR"/>
              </w:rPr>
              <w:t>Services aux collectivités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5CAA79B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30D49B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7FD297B8" w14:textId="77777777">
            <w:pPr>
              <w:pStyle w:val="Tab1MiddleColGras"/>
              <w:rPr>
                <w:lang w:val="fr-FR"/>
              </w:rPr>
            </w:pPr>
            <w:r>
              <w:rPr>
                <w:lang w:val="fr-FR"/>
              </w:rPr>
              <w:t>384 452,43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D1379A9" w14:textId="77777777">
            <w:pPr>
              <w:pStyle w:val="Tab1LastColGras"/>
              <w:rPr>
                <w:lang w:val="fr-FR"/>
              </w:rPr>
            </w:pPr>
            <w:r>
              <w:rPr>
                <w:lang w:val="fr-FR"/>
              </w:rPr>
              <w:t>0,11</w:t>
            </w:r>
          </w:p>
        </w:tc>
      </w:tr>
      <w:tr w14:paraId="1366CA8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DF0AD17" w14:textId="77777777">
            <w:pPr>
              <w:pStyle w:val="Tab3FirstColNonGras"/>
              <w:rPr>
                <w:lang w:val="fr-FR"/>
              </w:rPr>
            </w:pPr>
            <w:r>
              <w:rPr>
                <w:lang w:val="fr-FR"/>
              </w:rPr>
              <w:t>BLOCK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52D253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FF8C0D6" w14:textId="77777777">
            <w:pPr>
              <w:pStyle w:val="Tab3MiddleColNonGras"/>
              <w:rPr>
                <w:lang w:val="fr-FR"/>
              </w:rPr>
            </w:pPr>
            <w:r>
              <w:rPr>
                <w:lang w:val="fr-FR"/>
              </w:rPr>
              <w:t>2 920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50AAB22" w14:textId="77777777">
            <w:pPr>
              <w:pStyle w:val="Tab3MiddleColNonGras"/>
              <w:rPr>
                <w:lang w:val="fr-FR"/>
              </w:rPr>
            </w:pPr>
            <w:r>
              <w:rPr>
                <w:lang w:val="fr-FR"/>
              </w:rPr>
              <w:t>198 355,60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5540593" w14:textId="77777777">
            <w:pPr>
              <w:pStyle w:val="Tab3LastColNonGras"/>
              <w:rPr>
                <w:lang w:val="fr-FR"/>
              </w:rPr>
            </w:pPr>
            <w:r>
              <w:rPr>
                <w:lang w:val="fr-FR"/>
              </w:rPr>
              <w:t>0,06</w:t>
            </w:r>
          </w:p>
        </w:tc>
      </w:tr>
      <w:tr w14:paraId="4A28E23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9741C4B" w14:textId="77777777">
            <w:pPr>
              <w:pStyle w:val="Tab3FirstColNonGras"/>
              <w:rPr>
                <w:lang w:val="fr-FR"/>
              </w:rPr>
            </w:pPr>
            <w:r>
              <w:rPr>
                <w:lang w:val="fr-FR"/>
              </w:rPr>
              <w:t>POSTE ITALIANE SPA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66E4A2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01EA881" w14:textId="77777777">
            <w:pPr>
              <w:pStyle w:val="Tab3MiddleColNonGras"/>
              <w:rPr>
                <w:lang w:val="fr-FR"/>
              </w:rPr>
            </w:pPr>
            <w:r>
              <w:rPr>
                <w:lang w:val="fr-FR"/>
              </w:rPr>
              <w:t>3 448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33358DE" w14:textId="77777777">
            <w:pPr>
              <w:pStyle w:val="Tab3MiddleColNonGras"/>
              <w:rPr>
                <w:lang w:val="fr-FR"/>
              </w:rPr>
            </w:pPr>
            <w:r>
              <w:rPr>
                <w:lang w:val="fr-FR"/>
              </w:rPr>
              <w:t>73 825,21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3E52E2A" w14:textId="77777777">
            <w:pPr>
              <w:pStyle w:val="Tab3LastColNonGras"/>
              <w:rPr>
                <w:lang w:val="fr-FR"/>
              </w:rPr>
            </w:pPr>
            <w:r>
              <w:rPr>
                <w:lang w:val="fr-FR"/>
              </w:rPr>
              <w:t>0,02</w:t>
            </w:r>
          </w:p>
        </w:tc>
      </w:tr>
      <w:tr w14:paraId="08850C5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D7B3378" w14:textId="77777777">
            <w:pPr>
              <w:pStyle w:val="Tab3FirstColNonGras"/>
              <w:rPr>
                <w:lang w:val="fr-FR"/>
              </w:rPr>
            </w:pPr>
            <w:r>
              <w:rPr>
                <w:lang w:val="fr-FR"/>
              </w:rPr>
              <w:t>VAT GROUP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A72541E"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F11CE5A" w14:textId="77777777">
            <w:pPr>
              <w:pStyle w:val="Tab3MiddleColNonGras"/>
              <w:rPr>
                <w:lang w:val="fr-FR"/>
              </w:rPr>
            </w:pPr>
            <w:r>
              <w:rPr>
                <w:lang w:val="fr-FR"/>
              </w:rPr>
              <w:t>267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9262929" w14:textId="77777777">
            <w:pPr>
              <w:pStyle w:val="Tab3MiddleColNonGras"/>
              <w:rPr>
                <w:lang w:val="fr-FR"/>
              </w:rPr>
            </w:pPr>
            <w:r>
              <w:rPr>
                <w:lang w:val="fr-FR"/>
              </w:rPr>
              <w:t>112 271,62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805FB43" w14:textId="77777777">
            <w:pPr>
              <w:pStyle w:val="Tab3LastColNonGras"/>
              <w:rPr>
                <w:lang w:val="fr-FR"/>
              </w:rPr>
            </w:pPr>
            <w:r>
              <w:rPr>
                <w:lang w:val="fr-FR"/>
              </w:rPr>
              <w:t>0,03</w:t>
            </w:r>
          </w:p>
        </w:tc>
      </w:tr>
      <w:tr w14:paraId="05859A17"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73380926" w14:textId="77777777">
            <w:pPr>
              <w:pStyle w:val="Tab1FirstColGras"/>
              <w:rPr>
                <w:lang w:val="fr-FR"/>
              </w:rPr>
            </w:pPr>
            <w:r>
              <w:rPr>
                <w:lang w:val="fr-FR"/>
              </w:rPr>
              <w:t>Services aux entreprises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47C3EDF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28C0932"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1149AA6B" w14:textId="77777777">
            <w:pPr>
              <w:pStyle w:val="Tab1MiddleColGras"/>
              <w:rPr>
                <w:lang w:val="fr-FR"/>
              </w:rPr>
            </w:pPr>
            <w:r>
              <w:rPr>
                <w:lang w:val="fr-FR"/>
              </w:rPr>
              <w:t>2 012 835,48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21B89E3" w14:textId="77777777">
            <w:pPr>
              <w:pStyle w:val="Tab1LastColGras"/>
              <w:rPr>
                <w:lang w:val="fr-FR"/>
              </w:rPr>
            </w:pPr>
            <w:r>
              <w:rPr>
                <w:lang w:val="fr-FR"/>
              </w:rPr>
              <w:t>0,58</w:t>
            </w:r>
          </w:p>
        </w:tc>
      </w:tr>
      <w:tr w14:paraId="2DB5A84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17528EA" w14:textId="77777777">
            <w:pPr>
              <w:pStyle w:val="Tab3FirstColNonGras"/>
              <w:rPr>
                <w:lang w:val="fr-FR"/>
              </w:rPr>
            </w:pPr>
            <w:r>
              <w:rPr>
                <w:lang w:val="fr-FR"/>
              </w:rPr>
              <w:t>ACCENTURE PLC-CL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6AF7A9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4FDD356" w14:textId="77777777">
            <w:pPr>
              <w:pStyle w:val="Tab3MiddleColNonGras"/>
              <w:rPr>
                <w:lang w:val="fr-FR"/>
              </w:rPr>
            </w:pPr>
            <w:r>
              <w:rPr>
                <w:lang w:val="fr-FR"/>
              </w:rPr>
              <w:t>3 231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8A148BC" w14:textId="77777777">
            <w:pPr>
              <w:pStyle w:val="Tab3MiddleColNonGras"/>
              <w:rPr>
                <w:lang w:val="fr-FR"/>
              </w:rPr>
            </w:pPr>
            <w:r>
              <w:rPr>
                <w:lang w:val="fr-FR"/>
              </w:rPr>
              <w:t>965 713,59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E701A80" w14:textId="77777777">
            <w:pPr>
              <w:pStyle w:val="Tab3LastColNonGras"/>
              <w:rPr>
                <w:lang w:val="fr-FR"/>
              </w:rPr>
            </w:pPr>
            <w:r>
              <w:rPr>
                <w:lang w:val="fr-FR"/>
              </w:rPr>
              <w:t>0,29</w:t>
            </w:r>
          </w:p>
        </w:tc>
      </w:tr>
      <w:tr w14:paraId="31D5C98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D053E01" w14:textId="77777777">
            <w:pPr>
              <w:pStyle w:val="Tab3FirstColNonGras"/>
              <w:rPr>
                <w:lang w:val="fr-FR"/>
              </w:rPr>
            </w:pPr>
            <w:r>
              <w:rPr>
                <w:lang w:val="fr-FR"/>
              </w:rPr>
              <w:t>AVERY DENNISON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D28652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1BDA398" w14:textId="77777777">
            <w:pPr>
              <w:pStyle w:val="Tab3MiddleColNonGras"/>
              <w:rPr>
                <w:lang w:val="fr-FR"/>
              </w:rPr>
            </w:pPr>
            <w:r>
              <w:rPr>
                <w:lang w:val="fr-FR"/>
              </w:rPr>
              <w:t>193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339E5EB" w14:textId="77777777">
            <w:pPr>
              <w:pStyle w:val="Tab3MiddleColNonGras"/>
              <w:rPr>
                <w:lang w:val="fr-FR"/>
              </w:rPr>
            </w:pPr>
            <w:r>
              <w:rPr>
                <w:lang w:val="fr-FR"/>
              </w:rPr>
              <w:t>33 865,71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F365133" w14:textId="77777777">
            <w:pPr>
              <w:pStyle w:val="Tab3LastColNonGras"/>
              <w:rPr>
                <w:lang w:val="fr-FR"/>
              </w:rPr>
            </w:pPr>
            <w:r>
              <w:rPr>
                <w:lang w:val="fr-FR"/>
              </w:rPr>
              <w:t>0,01</w:t>
            </w:r>
          </w:p>
        </w:tc>
      </w:tr>
      <w:tr w14:paraId="3B7285D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1A00146" w14:textId="77777777">
            <w:pPr>
              <w:pStyle w:val="Tab3FirstColNonGras"/>
              <w:rPr>
                <w:lang w:val="fr-FR"/>
              </w:rPr>
            </w:pPr>
            <w:r>
              <w:rPr>
                <w:lang w:val="fr-FR"/>
              </w:rPr>
              <w:t>CINTAS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25DC91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2F8A8DD" w14:textId="77777777">
            <w:pPr>
              <w:pStyle w:val="Tab3MiddleColNonGras"/>
              <w:rPr>
                <w:lang w:val="fr-FR"/>
              </w:rPr>
            </w:pPr>
            <w:r>
              <w:rPr>
                <w:lang w:val="fr-FR"/>
              </w:rPr>
              <w:t>1 849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872E587" w14:textId="77777777">
            <w:pPr>
              <w:pStyle w:val="Tab3MiddleColNonGras"/>
              <w:rPr>
                <w:lang w:val="fr-FR"/>
              </w:rPr>
            </w:pPr>
            <w:r>
              <w:rPr>
                <w:lang w:val="fr-FR"/>
              </w:rPr>
              <w:t>412 086,63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ADC2B37" w14:textId="77777777">
            <w:pPr>
              <w:pStyle w:val="Tab3LastColNonGras"/>
              <w:rPr>
                <w:lang w:val="fr-FR"/>
              </w:rPr>
            </w:pPr>
            <w:r>
              <w:rPr>
                <w:lang w:val="fr-FR"/>
              </w:rPr>
              <w:t>0,12</w:t>
            </w:r>
          </w:p>
        </w:tc>
      </w:tr>
      <w:tr w14:paraId="6F35718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33847C8B" w14:textId="77777777">
            <w:pPr>
              <w:pStyle w:val="Tab3FirstColNonGras"/>
              <w:rPr>
                <w:lang w:val="en-US"/>
              </w:rPr>
            </w:pPr>
            <w:r w:rsidRPr="00D61EB0">
              <w:rPr>
                <w:lang w:val="en-US"/>
              </w:rPr>
              <w:t>DAI NIPPON PRINTING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CAA9D42"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85FF918" w14:textId="77777777">
            <w:pPr>
              <w:pStyle w:val="Tab3MiddleColNonGras"/>
              <w:rPr>
                <w:lang w:val="fr-FR"/>
              </w:rPr>
            </w:pPr>
            <w:r>
              <w:rPr>
                <w:lang w:val="fr-FR"/>
              </w:rPr>
              <w:t>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4E3DAF8" w14:textId="77777777">
            <w:pPr>
              <w:pStyle w:val="Tab3MiddleColNonGras"/>
              <w:rPr>
                <w:lang w:val="fr-FR"/>
              </w:rPr>
            </w:pPr>
            <w:r>
              <w:rPr>
                <w:lang w:val="fr-FR"/>
              </w:rPr>
              <w:t>9 096,89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4544059" w14:textId="77777777">
            <w:pPr>
              <w:pStyle w:val="Tab3LastColNonGras"/>
              <w:rPr>
                <w:lang w:val="fr-FR"/>
              </w:rPr>
            </w:pPr>
            <w:r>
              <w:rPr>
                <w:lang w:val="fr-FR"/>
              </w:rPr>
              <w:t>0,00</w:t>
            </w:r>
          </w:p>
        </w:tc>
      </w:tr>
      <w:tr w14:paraId="74CC9B0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050D753" w14:textId="77777777">
            <w:pPr>
              <w:pStyle w:val="Tab3FirstColNonGras"/>
              <w:rPr>
                <w:lang w:val="fr-FR"/>
              </w:rPr>
            </w:pPr>
            <w:r>
              <w:rPr>
                <w:lang w:val="fr-FR"/>
              </w:rPr>
              <w:t>GALDERMA GROUP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8618D73"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17C7030" w14:textId="77777777">
            <w:pPr>
              <w:pStyle w:val="Tab3MiddleColNonGras"/>
              <w:rPr>
                <w:lang w:val="fr-FR"/>
              </w:rPr>
            </w:pPr>
            <w:r>
              <w:rPr>
                <w:lang w:val="fr-FR"/>
              </w:rPr>
              <w:t>1 409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DE89B22" w14:textId="77777777">
            <w:pPr>
              <w:pStyle w:val="Tab3MiddleColNonGras"/>
              <w:rPr>
                <w:lang w:val="fr-FR"/>
              </w:rPr>
            </w:pPr>
            <w:r>
              <w:rPr>
                <w:lang w:val="fr-FR"/>
              </w:rPr>
              <w:t>203 569,10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F943BF1" w14:textId="77777777">
            <w:pPr>
              <w:pStyle w:val="Tab3LastColNonGras"/>
              <w:rPr>
                <w:lang w:val="fr-FR"/>
              </w:rPr>
            </w:pPr>
            <w:r>
              <w:rPr>
                <w:lang w:val="fr-FR"/>
              </w:rPr>
              <w:t>0,06</w:t>
            </w:r>
          </w:p>
        </w:tc>
      </w:tr>
      <w:tr w14:paraId="74338D5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864312F" w14:textId="77777777">
            <w:pPr>
              <w:pStyle w:val="Tab3FirstColNonGras"/>
              <w:rPr>
                <w:lang w:val="fr-FR"/>
              </w:rPr>
            </w:pPr>
            <w:r>
              <w:rPr>
                <w:lang w:val="fr-FR"/>
              </w:rPr>
              <w:t>INFRATIL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6BFC997" w14:textId="77777777">
            <w:pPr>
              <w:pStyle w:val="Tab1MiddleColNonGrasCentre"/>
              <w:rPr>
                <w:lang w:val="fr-FR"/>
              </w:rPr>
            </w:pPr>
            <w:r>
              <w:rPr>
                <w:lang w:val="fr-FR"/>
              </w:rPr>
              <w:t>NZD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6A586D0" w14:textId="77777777">
            <w:pPr>
              <w:pStyle w:val="Tab3MiddleColNonGras"/>
              <w:rPr>
                <w:lang w:val="fr-FR"/>
              </w:rPr>
            </w:pPr>
            <w:r>
              <w:rPr>
                <w:lang w:val="fr-FR"/>
              </w:rPr>
              <w:t>5 265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731B50C" w14:textId="77777777">
            <w:pPr>
              <w:pStyle w:val="Tab3MiddleColNonGras"/>
              <w:rPr>
                <w:lang w:val="fr-FR"/>
              </w:rPr>
            </w:pPr>
            <w:r>
              <w:rPr>
                <w:lang w:val="fr-FR"/>
              </w:rPr>
              <w:t>33 878,78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8FB853F" w14:textId="77777777">
            <w:pPr>
              <w:pStyle w:val="Tab3LastColNonGras"/>
              <w:rPr>
                <w:lang w:val="fr-FR"/>
              </w:rPr>
            </w:pPr>
            <w:r>
              <w:rPr>
                <w:lang w:val="fr-FR"/>
              </w:rPr>
              <w:t>0,01</w:t>
            </w:r>
          </w:p>
        </w:tc>
      </w:tr>
      <w:tr w14:paraId="54043EB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8C21912" w14:textId="77777777">
            <w:pPr>
              <w:pStyle w:val="Tab3FirstColNonGras"/>
              <w:rPr>
                <w:lang w:val="fr-FR"/>
              </w:rPr>
            </w:pPr>
            <w:r>
              <w:rPr>
                <w:lang w:val="fr-FR"/>
              </w:rPr>
              <w:t>RENTOKIL INITIAL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948B90E"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5F02F1F" w14:textId="77777777">
            <w:pPr>
              <w:pStyle w:val="Tab3MiddleColNonGras"/>
              <w:rPr>
                <w:lang w:val="fr-FR"/>
              </w:rPr>
            </w:pPr>
            <w:r>
              <w:rPr>
                <w:lang w:val="fr-FR"/>
              </w:rPr>
              <w:t>28 354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A4C745A" w14:textId="77777777">
            <w:pPr>
              <w:pStyle w:val="Tab3MiddleColNonGras"/>
              <w:rPr>
                <w:lang w:val="fr-FR"/>
              </w:rPr>
            </w:pPr>
            <w:r>
              <w:rPr>
                <w:lang w:val="fr-FR"/>
              </w:rPr>
              <w:t>136 809,07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2189476" w14:textId="77777777">
            <w:pPr>
              <w:pStyle w:val="Tab3LastColNonGras"/>
              <w:rPr>
                <w:lang w:val="fr-FR"/>
              </w:rPr>
            </w:pPr>
            <w:r>
              <w:rPr>
                <w:lang w:val="fr-FR"/>
              </w:rPr>
              <w:t>0,04</w:t>
            </w:r>
          </w:p>
        </w:tc>
      </w:tr>
      <w:tr w14:paraId="0C72390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1E6059C" w14:textId="77777777">
            <w:pPr>
              <w:pStyle w:val="Tab3FirstColNonGras"/>
              <w:rPr>
                <w:lang w:val="fr-FR"/>
              </w:rPr>
            </w:pPr>
            <w:r>
              <w:rPr>
                <w:lang w:val="fr-FR"/>
              </w:rPr>
              <w:t>REPUBLIC SERVICES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0720E6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2A08D38" w14:textId="77777777">
            <w:pPr>
              <w:pStyle w:val="Tab3MiddleColNonGras"/>
              <w:rPr>
                <w:lang w:val="fr-FR"/>
              </w:rPr>
            </w:pPr>
            <w:r>
              <w:rPr>
                <w:lang w:val="fr-FR"/>
              </w:rPr>
              <w:t>460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4566F78" w14:textId="77777777">
            <w:pPr>
              <w:pStyle w:val="Tab3MiddleColNonGras"/>
              <w:rPr>
                <w:lang w:val="fr-FR"/>
              </w:rPr>
            </w:pPr>
            <w:r>
              <w:rPr>
                <w:lang w:val="fr-FR"/>
              </w:rPr>
              <w:t>113 440,60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2FF0512" w14:textId="77777777">
            <w:pPr>
              <w:pStyle w:val="Tab3LastColNonGras"/>
              <w:rPr>
                <w:lang w:val="fr-FR"/>
              </w:rPr>
            </w:pPr>
            <w:r>
              <w:rPr>
                <w:lang w:val="fr-FR"/>
              </w:rPr>
              <w:t>0,03</w:t>
            </w:r>
          </w:p>
        </w:tc>
      </w:tr>
      <w:tr w14:paraId="5269A13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50302A3" w14:textId="77777777">
            <w:pPr>
              <w:pStyle w:val="Tab3FirstColNonGras"/>
              <w:rPr>
                <w:lang w:val="fr-FR"/>
              </w:rPr>
            </w:pPr>
            <w:r>
              <w:rPr>
                <w:lang w:val="fr-FR"/>
              </w:rPr>
              <w:t>SECOM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F88F50F"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42E007A" w14:textId="77777777">
            <w:pPr>
              <w:pStyle w:val="Tab3MiddleColNonGras"/>
              <w:rPr>
                <w:lang w:val="fr-FR"/>
              </w:rPr>
            </w:pPr>
            <w:r>
              <w:rPr>
                <w:lang w:val="fr-FR"/>
              </w:rPr>
              <w:t>2 200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3D5171B" w14:textId="77777777">
            <w:pPr>
              <w:pStyle w:val="Tab3MiddleColNonGras"/>
              <w:rPr>
                <w:lang w:val="fr-FR"/>
              </w:rPr>
            </w:pPr>
            <w:r>
              <w:rPr>
                <w:lang w:val="fr-FR"/>
              </w:rPr>
              <w:t>78 940,78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0E453A5" w14:textId="77777777">
            <w:pPr>
              <w:pStyle w:val="Tab3LastColNonGras"/>
              <w:rPr>
                <w:lang w:val="fr-FR"/>
              </w:rPr>
            </w:pPr>
            <w:r>
              <w:rPr>
                <w:lang w:val="fr-FR"/>
              </w:rPr>
              <w:t>0,02</w:t>
            </w:r>
          </w:p>
        </w:tc>
      </w:tr>
      <w:tr w14:paraId="0D50687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95B286E" w14:textId="77777777">
            <w:pPr>
              <w:pStyle w:val="Tab3FirstColNonGras"/>
              <w:rPr>
                <w:lang w:val="fr-FR"/>
              </w:rPr>
            </w:pPr>
            <w:r>
              <w:rPr>
                <w:lang w:val="fr-FR"/>
              </w:rPr>
              <w:t>SECURITAS AB-B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92ADAA6"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C131893" w14:textId="77777777">
            <w:pPr>
              <w:pStyle w:val="Tab3MiddleColNonGras"/>
              <w:rPr>
                <w:lang w:val="fr-FR"/>
              </w:rPr>
            </w:pPr>
            <w:r>
              <w:rPr>
                <w:lang w:val="fr-FR"/>
              </w:rPr>
              <w:t>981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3A2AC6D" w14:textId="77777777">
            <w:pPr>
              <w:pStyle w:val="Tab3MiddleColNonGras"/>
              <w:rPr>
                <w:lang w:val="fr-FR"/>
              </w:rPr>
            </w:pPr>
            <w:r>
              <w:rPr>
                <w:lang w:val="fr-FR"/>
              </w:rPr>
              <w:t>14 565,14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2BD902A" w14:textId="77777777">
            <w:pPr>
              <w:pStyle w:val="Tab3LastColNonGras"/>
              <w:rPr>
                <w:lang w:val="fr-FR"/>
              </w:rPr>
            </w:pPr>
            <w:r>
              <w:rPr>
                <w:lang w:val="fr-FR"/>
              </w:rPr>
              <w:t>0,00</w:t>
            </w:r>
          </w:p>
        </w:tc>
      </w:tr>
      <w:tr w14:paraId="5922AD5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0C3479C" w14:textId="77777777">
            <w:pPr>
              <w:pStyle w:val="Tab3FirstColNonGras"/>
              <w:rPr>
                <w:lang w:val="fr-FR"/>
              </w:rPr>
            </w:pPr>
            <w:r>
              <w:rPr>
                <w:lang w:val="fr-FR"/>
              </w:rPr>
              <w:t>TOPPAN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E9F0AFB"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6751AD1" w14:textId="77777777">
            <w:pPr>
              <w:pStyle w:val="Tab3MiddleColNonGras"/>
              <w:rPr>
                <w:lang w:val="fr-FR"/>
              </w:rPr>
            </w:pPr>
            <w:r>
              <w:rPr>
                <w:lang w:val="fr-FR"/>
              </w:rPr>
              <w:t>400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592C9C0" w14:textId="77777777">
            <w:pPr>
              <w:pStyle w:val="Tab3MiddleColNonGras"/>
              <w:rPr>
                <w:lang w:val="fr-FR"/>
              </w:rPr>
            </w:pPr>
            <w:r>
              <w:rPr>
                <w:lang w:val="fr-FR"/>
              </w:rPr>
              <w:t>10 869,19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B528E1C" w14:textId="77777777">
            <w:pPr>
              <w:pStyle w:val="Tab3LastColNonGras"/>
              <w:rPr>
                <w:lang w:val="fr-FR"/>
              </w:rPr>
            </w:pPr>
            <w:r>
              <w:rPr>
                <w:lang w:val="fr-FR"/>
              </w:rPr>
              <w:t>0,00</w:t>
            </w:r>
          </w:p>
        </w:tc>
      </w:tr>
      <w:tr w14:paraId="3D7027AD"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22602B63" w14:textId="77777777">
            <w:pPr>
              <w:pStyle w:val="Tab1FirstColGras"/>
              <w:rPr>
                <w:lang w:val="fr-FR"/>
              </w:rPr>
            </w:pPr>
            <w:r>
              <w:rPr>
                <w:lang w:val="fr-FR"/>
              </w:rPr>
              <w:t>Services aux professionnels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5E6D2D7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D75E00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4E217145" w14:textId="77777777">
            <w:pPr>
              <w:pStyle w:val="Tab1MiddleColGras"/>
              <w:rPr>
                <w:lang w:val="fr-FR"/>
              </w:rPr>
            </w:pPr>
            <w:r>
              <w:rPr>
                <w:lang w:val="fr-FR"/>
              </w:rPr>
              <w:t>2 998 920,79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4034B64" w14:textId="77777777">
            <w:pPr>
              <w:pStyle w:val="Tab1LastColGras"/>
              <w:rPr>
                <w:lang w:val="fr-FR"/>
              </w:rPr>
            </w:pPr>
            <w:r>
              <w:rPr>
                <w:lang w:val="fr-FR"/>
              </w:rPr>
              <w:t>0,86</w:t>
            </w:r>
          </w:p>
        </w:tc>
      </w:tr>
      <w:tr w14:paraId="5220F56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2AEE481" w14:textId="77777777">
            <w:pPr>
              <w:pStyle w:val="Tab3FirstColNonGras"/>
              <w:rPr>
                <w:lang w:val="fr-FR"/>
              </w:rPr>
            </w:pPr>
            <w:r>
              <w:rPr>
                <w:lang w:val="fr-FR"/>
              </w:rPr>
              <w:t>AUTOMATIC DATA PROCESSING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A80D55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B86734F" w14:textId="77777777">
            <w:pPr>
              <w:pStyle w:val="Tab3MiddleColNonGras"/>
              <w:rPr>
                <w:lang w:val="fr-FR"/>
              </w:rPr>
            </w:pPr>
            <w:r>
              <w:rPr>
                <w:lang w:val="fr-FR"/>
              </w:rPr>
              <w:t>2 042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002505B" w14:textId="77777777">
            <w:pPr>
              <w:pStyle w:val="Tab3MiddleColNonGras"/>
              <w:rPr>
                <w:lang w:val="fr-FR"/>
              </w:rPr>
            </w:pPr>
            <w:r>
              <w:rPr>
                <w:lang w:val="fr-FR"/>
              </w:rPr>
              <w:t>629 752,80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3D15E71" w14:textId="77777777">
            <w:pPr>
              <w:pStyle w:val="Tab3LastColNonGras"/>
              <w:rPr>
                <w:lang w:val="fr-FR"/>
              </w:rPr>
            </w:pPr>
            <w:r>
              <w:rPr>
                <w:lang w:val="fr-FR"/>
              </w:rPr>
              <w:t>0,18</w:t>
            </w:r>
          </w:p>
        </w:tc>
      </w:tr>
      <w:tr w14:paraId="13A4E9F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573873F" w14:textId="77777777">
            <w:pPr>
              <w:pStyle w:val="Tab3FirstColNonGras"/>
              <w:rPr>
                <w:lang w:val="fr-FR"/>
              </w:rPr>
            </w:pPr>
            <w:r>
              <w:rPr>
                <w:lang w:val="fr-FR"/>
              </w:rPr>
              <w:t>BROADRIDGE FINANCIAL SOLUTIO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C186E6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04F47B1" w14:textId="77777777">
            <w:pPr>
              <w:pStyle w:val="Tab3MiddleColNonGras"/>
              <w:rPr>
                <w:lang w:val="fr-FR"/>
              </w:rPr>
            </w:pPr>
            <w:r>
              <w:rPr>
                <w:lang w:val="fr-FR"/>
              </w:rPr>
              <w:t>578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C7E43F1" w14:textId="77777777">
            <w:pPr>
              <w:pStyle w:val="Tab3MiddleColNonGras"/>
              <w:rPr>
                <w:lang w:val="fr-FR"/>
              </w:rPr>
            </w:pPr>
            <w:r>
              <w:rPr>
                <w:lang w:val="fr-FR"/>
              </w:rPr>
              <w:t>140 471,34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3014AF1" w14:textId="77777777">
            <w:pPr>
              <w:pStyle w:val="Tab3LastColNonGras"/>
              <w:rPr>
                <w:lang w:val="fr-FR"/>
              </w:rPr>
            </w:pPr>
            <w:r>
              <w:rPr>
                <w:lang w:val="fr-FR"/>
              </w:rPr>
              <w:t>0,04</w:t>
            </w:r>
          </w:p>
        </w:tc>
      </w:tr>
      <w:tr w14:paraId="696B653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8AFE66B" w14:textId="77777777">
            <w:pPr>
              <w:pStyle w:val="Tab3FirstColNonGras"/>
              <w:rPr>
                <w:lang w:val="fr-FR"/>
              </w:rPr>
            </w:pPr>
            <w:r>
              <w:rPr>
                <w:lang w:val="fr-FR"/>
              </w:rPr>
              <w:t>BUREAU VERITAS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F277A3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888D75E" w14:textId="77777777">
            <w:pPr>
              <w:pStyle w:val="Tab3MiddleColNonGras"/>
              <w:rPr>
                <w:lang w:val="fr-FR"/>
              </w:rPr>
            </w:pPr>
            <w:r>
              <w:rPr>
                <w:lang w:val="fr-FR"/>
              </w:rPr>
              <w:t>1 822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4BAF1E2" w14:textId="77777777">
            <w:pPr>
              <w:pStyle w:val="Tab3MiddleColNonGras"/>
              <w:rPr>
                <w:lang w:val="fr-FR"/>
              </w:rPr>
            </w:pPr>
            <w:r>
              <w:rPr>
                <w:lang w:val="fr-FR"/>
              </w:rPr>
              <w:t>61 895,56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2DE68E8" w14:textId="77777777">
            <w:pPr>
              <w:pStyle w:val="Tab3LastColNonGras"/>
              <w:rPr>
                <w:lang w:val="fr-FR"/>
              </w:rPr>
            </w:pPr>
            <w:r>
              <w:rPr>
                <w:lang w:val="fr-FR"/>
              </w:rPr>
              <w:t>0,02</w:t>
            </w:r>
          </w:p>
        </w:tc>
      </w:tr>
      <w:tr w14:paraId="376B2F6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817067C" w14:textId="77777777">
            <w:pPr>
              <w:pStyle w:val="Tab3FirstColNonGras"/>
              <w:rPr>
                <w:lang w:val="fr-FR"/>
              </w:rPr>
            </w:pPr>
            <w:r>
              <w:rPr>
                <w:lang w:val="fr-FR"/>
              </w:rPr>
              <w:t>COMPUTERSHARE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660A788"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507AFC6" w14:textId="77777777">
            <w:pPr>
              <w:pStyle w:val="Tab3MiddleColNonGras"/>
              <w:rPr>
                <w:lang w:val="fr-FR"/>
              </w:rPr>
            </w:pPr>
            <w:r>
              <w:rPr>
                <w:lang w:val="fr-FR"/>
              </w:rPr>
              <w:t>2 654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2EF0E94" w14:textId="77777777">
            <w:pPr>
              <w:pStyle w:val="Tab3MiddleColNonGras"/>
              <w:rPr>
                <w:lang w:val="fr-FR"/>
              </w:rPr>
            </w:pPr>
            <w:r>
              <w:rPr>
                <w:lang w:val="fr-FR"/>
              </w:rPr>
              <w:t>69 381,81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80F20D4" w14:textId="77777777">
            <w:pPr>
              <w:pStyle w:val="Tab3LastColNonGras"/>
              <w:rPr>
                <w:lang w:val="fr-FR"/>
              </w:rPr>
            </w:pPr>
            <w:r>
              <w:rPr>
                <w:lang w:val="fr-FR"/>
              </w:rPr>
              <w:t>0,02</w:t>
            </w:r>
          </w:p>
        </w:tc>
      </w:tr>
      <w:tr w14:paraId="35FF4F9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60703E0" w14:textId="77777777">
            <w:pPr>
              <w:pStyle w:val="Tab3FirstColNonGras"/>
              <w:rPr>
                <w:lang w:val="fr-FR"/>
              </w:rPr>
            </w:pPr>
            <w:r>
              <w:rPr>
                <w:lang w:val="fr-FR"/>
              </w:rPr>
              <w:t>EQUIFAX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62C605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F79041C" w14:textId="77777777">
            <w:pPr>
              <w:pStyle w:val="Tab3MiddleColNonGras"/>
              <w:rPr>
                <w:lang w:val="fr-FR"/>
              </w:rPr>
            </w:pPr>
            <w:r>
              <w:rPr>
                <w:lang w:val="fr-FR"/>
              </w:rPr>
              <w:t>584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09F6EA2" w14:textId="77777777">
            <w:pPr>
              <w:pStyle w:val="Tab3MiddleColNonGras"/>
              <w:rPr>
                <w:lang w:val="fr-FR"/>
              </w:rPr>
            </w:pPr>
            <w:r>
              <w:rPr>
                <w:lang w:val="fr-FR"/>
              </w:rPr>
              <w:t>151 472,08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F63E2C3" w14:textId="77777777">
            <w:pPr>
              <w:pStyle w:val="Tab3LastColNonGras"/>
              <w:rPr>
                <w:lang w:val="fr-FR"/>
              </w:rPr>
            </w:pPr>
            <w:r>
              <w:rPr>
                <w:lang w:val="fr-FR"/>
              </w:rPr>
              <w:t>0,04</w:t>
            </w:r>
          </w:p>
        </w:tc>
      </w:tr>
      <w:tr w14:paraId="06221D5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E9D703C" w14:textId="77777777">
            <w:pPr>
              <w:pStyle w:val="Tab3FirstColNonGras"/>
              <w:rPr>
                <w:lang w:val="fr-FR"/>
              </w:rPr>
            </w:pPr>
            <w:r>
              <w:rPr>
                <w:lang w:val="fr-FR"/>
              </w:rPr>
              <w:t>EXPERIAN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8E7647F"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007268B" w14:textId="77777777">
            <w:pPr>
              <w:pStyle w:val="Tab3MiddleColNonGras"/>
              <w:rPr>
                <w:lang w:val="fr-FR"/>
              </w:rPr>
            </w:pPr>
            <w:r>
              <w:rPr>
                <w:lang w:val="fr-FR"/>
              </w:rPr>
              <w:t>4 126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D5E6422" w14:textId="77777777">
            <w:pPr>
              <w:pStyle w:val="Tab3MiddleColNonGras"/>
              <w:rPr>
                <w:lang w:val="fr-FR"/>
              </w:rPr>
            </w:pPr>
            <w:r>
              <w:rPr>
                <w:lang w:val="fr-FR"/>
              </w:rPr>
              <w:t>212 141,97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9344AB1" w14:textId="77777777">
            <w:pPr>
              <w:pStyle w:val="Tab3LastColNonGras"/>
              <w:rPr>
                <w:lang w:val="fr-FR"/>
              </w:rPr>
            </w:pPr>
            <w:r>
              <w:rPr>
                <w:lang w:val="fr-FR"/>
              </w:rPr>
              <w:t>0,06</w:t>
            </w:r>
          </w:p>
        </w:tc>
      </w:tr>
      <w:tr w14:paraId="05169BD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5CCD03F" w14:textId="77777777">
            <w:pPr>
              <w:pStyle w:val="Tab3FirstColNonGras"/>
              <w:rPr>
                <w:lang w:val="fr-FR"/>
              </w:rPr>
            </w:pPr>
            <w:r>
              <w:rPr>
                <w:lang w:val="fr-FR"/>
              </w:rPr>
              <w:t>INTERTEK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D5DF6D2"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8D2D2BF" w14:textId="77777777">
            <w:pPr>
              <w:pStyle w:val="Tab3MiddleColNonGras"/>
              <w:rPr>
                <w:lang w:val="fr-FR"/>
              </w:rPr>
            </w:pPr>
            <w:r>
              <w:rPr>
                <w:lang w:val="fr-FR"/>
              </w:rPr>
              <w:t>807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AEBB7FC" w14:textId="77777777">
            <w:pPr>
              <w:pStyle w:val="Tab3MiddleColNonGras"/>
              <w:rPr>
                <w:lang w:val="fr-FR"/>
              </w:rPr>
            </w:pPr>
            <w:r>
              <w:rPr>
                <w:lang w:val="fr-FR"/>
              </w:rPr>
              <w:t>52 418,72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FFE2D23" w14:textId="77777777">
            <w:pPr>
              <w:pStyle w:val="Tab3LastColNonGras"/>
              <w:rPr>
                <w:lang w:val="fr-FR"/>
              </w:rPr>
            </w:pPr>
            <w:r>
              <w:rPr>
                <w:lang w:val="fr-FR"/>
              </w:rPr>
              <w:t>0,02</w:t>
            </w:r>
          </w:p>
        </w:tc>
      </w:tr>
      <w:tr w14:paraId="002B192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F645D64" w14:textId="77777777">
            <w:pPr>
              <w:pStyle w:val="Tab3FirstColNonGras"/>
              <w:rPr>
                <w:lang w:val="fr-FR"/>
              </w:rPr>
            </w:pPr>
            <w:r>
              <w:rPr>
                <w:lang w:val="fr-FR"/>
              </w:rPr>
              <w:t>PAYCHEX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85FB59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AC57F9F" w14:textId="77777777">
            <w:pPr>
              <w:pStyle w:val="Tab3MiddleColNonGras"/>
              <w:rPr>
                <w:lang w:val="fr-FR"/>
              </w:rPr>
            </w:pPr>
            <w:r>
              <w:rPr>
                <w:lang w:val="fr-FR"/>
              </w:rPr>
              <w:t>1 541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5BDF1F2" w14:textId="77777777">
            <w:pPr>
              <w:pStyle w:val="Tab3MiddleColNonGras"/>
              <w:rPr>
                <w:lang w:val="fr-FR"/>
              </w:rPr>
            </w:pPr>
            <w:r>
              <w:rPr>
                <w:lang w:val="fr-FR"/>
              </w:rPr>
              <w:t>224 153,86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2F79C11" w14:textId="77777777">
            <w:pPr>
              <w:pStyle w:val="Tab3LastColNonGras"/>
              <w:rPr>
                <w:lang w:val="fr-FR"/>
              </w:rPr>
            </w:pPr>
            <w:r>
              <w:rPr>
                <w:lang w:val="fr-FR"/>
              </w:rPr>
              <w:t>0,06</w:t>
            </w:r>
          </w:p>
        </w:tc>
      </w:tr>
      <w:tr w14:paraId="5B6D06A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07008D8" w14:textId="77777777">
            <w:pPr>
              <w:pStyle w:val="Tab3FirstColNonGras"/>
              <w:rPr>
                <w:lang w:val="fr-FR"/>
              </w:rPr>
            </w:pPr>
            <w:r>
              <w:rPr>
                <w:lang w:val="fr-FR"/>
              </w:rPr>
              <w:t>RANDSTAD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50FF1A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FB5874F" w14:textId="77777777">
            <w:pPr>
              <w:pStyle w:val="Tab3MiddleColNonGras"/>
              <w:rPr>
                <w:lang w:val="fr-FR"/>
              </w:rPr>
            </w:pPr>
            <w:r>
              <w:rPr>
                <w:lang w:val="fr-FR"/>
              </w:rPr>
              <w:t>871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214BB3D" w14:textId="77777777">
            <w:pPr>
              <w:pStyle w:val="Tab3MiddleColNonGras"/>
              <w:rPr>
                <w:lang w:val="fr-FR"/>
              </w:rPr>
            </w:pPr>
            <w:r>
              <w:rPr>
                <w:lang w:val="fr-FR"/>
              </w:rPr>
              <w:t>40 079,00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05FEF52" w14:textId="77777777">
            <w:pPr>
              <w:pStyle w:val="Tab3LastColNonGras"/>
              <w:rPr>
                <w:lang w:val="fr-FR"/>
              </w:rPr>
            </w:pPr>
            <w:r>
              <w:rPr>
                <w:lang w:val="fr-FR"/>
              </w:rPr>
              <w:t>0,01</w:t>
            </w:r>
          </w:p>
        </w:tc>
      </w:tr>
      <w:tr w14:paraId="5AECD84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0A5747D" w14:textId="77777777">
            <w:pPr>
              <w:pStyle w:val="Tab3FirstColNonGras"/>
              <w:rPr>
                <w:lang w:val="fr-FR"/>
              </w:rPr>
            </w:pPr>
            <w:r>
              <w:rPr>
                <w:lang w:val="fr-FR"/>
              </w:rPr>
              <w:t>RELX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67292E2"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479E023" w14:textId="77777777">
            <w:pPr>
              <w:pStyle w:val="Tab3MiddleColNonGras"/>
              <w:rPr>
                <w:lang w:val="fr-FR"/>
              </w:rPr>
            </w:pPr>
            <w:r>
              <w:rPr>
                <w:lang w:val="fr-FR"/>
              </w:rPr>
              <w:t>8 931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2988391" w14:textId="77777777">
            <w:pPr>
              <w:pStyle w:val="Tab3MiddleColNonGras"/>
              <w:rPr>
                <w:lang w:val="fr-FR"/>
              </w:rPr>
            </w:pPr>
            <w:r>
              <w:rPr>
                <w:lang w:val="fr-FR"/>
              </w:rPr>
              <w:t>481 836,88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FFC3E40" w14:textId="77777777">
            <w:pPr>
              <w:pStyle w:val="Tab3LastColNonGras"/>
              <w:rPr>
                <w:lang w:val="fr-FR"/>
              </w:rPr>
            </w:pPr>
            <w:r>
              <w:rPr>
                <w:lang w:val="fr-FR"/>
              </w:rPr>
              <w:t>0,14</w:t>
            </w:r>
          </w:p>
        </w:tc>
      </w:tr>
      <w:tr w14:paraId="1CA2C3E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B32942E" w14:textId="77777777">
            <w:pPr>
              <w:pStyle w:val="Tab3FirstColNonGras"/>
              <w:rPr>
                <w:lang w:val="fr-FR"/>
              </w:rPr>
            </w:pPr>
            <w:r>
              <w:rPr>
                <w:lang w:val="fr-FR"/>
              </w:rPr>
              <w:t>SGS SA-REG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E6B87DE"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E4843B7" w14:textId="77777777">
            <w:pPr>
              <w:pStyle w:val="Tab3MiddleColNonGras"/>
              <w:rPr>
                <w:lang w:val="fr-FR"/>
              </w:rPr>
            </w:pPr>
            <w:r>
              <w:rPr>
                <w:lang w:val="fr-FR"/>
              </w:rPr>
              <w:t>1 009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55A84E5" w14:textId="77777777">
            <w:pPr>
              <w:pStyle w:val="Tab3MiddleColNonGras"/>
              <w:rPr>
                <w:lang w:val="fr-FR"/>
              </w:rPr>
            </w:pPr>
            <w:r>
              <w:rPr>
                <w:lang w:val="fr-FR"/>
              </w:rPr>
              <w:t>102 044,61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CA90EA0" w14:textId="77777777">
            <w:pPr>
              <w:pStyle w:val="Tab3LastColNonGras"/>
              <w:rPr>
                <w:lang w:val="fr-FR"/>
              </w:rPr>
            </w:pPr>
            <w:r>
              <w:rPr>
                <w:lang w:val="fr-FR"/>
              </w:rPr>
              <w:t>0,03</w:t>
            </w:r>
          </w:p>
        </w:tc>
      </w:tr>
      <w:tr w14:paraId="79FA42E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B423C1A" w14:textId="77777777">
            <w:pPr>
              <w:pStyle w:val="Tab3FirstColNonGras"/>
              <w:rPr>
                <w:lang w:val="fr-FR"/>
              </w:rPr>
            </w:pPr>
            <w:r>
              <w:rPr>
                <w:lang w:val="fr-FR"/>
              </w:rPr>
              <w:t>SS&amp;C TECHNOLOGIES HOLDINGS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7087A5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B4A9E6C" w14:textId="77777777">
            <w:pPr>
              <w:pStyle w:val="Tab3MiddleColNonGras"/>
              <w:rPr>
                <w:lang w:val="fr-FR"/>
              </w:rPr>
            </w:pPr>
            <w:r>
              <w:rPr>
                <w:lang w:val="fr-FR"/>
              </w:rPr>
              <w:t>822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8AC52E6" w14:textId="77777777">
            <w:pPr>
              <w:pStyle w:val="Tab3MiddleColNonGras"/>
              <w:rPr>
                <w:lang w:val="fr-FR"/>
              </w:rPr>
            </w:pPr>
            <w:r>
              <w:rPr>
                <w:lang w:val="fr-FR"/>
              </w:rPr>
              <w:t>68 061,60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5F52E34" w14:textId="77777777">
            <w:pPr>
              <w:pStyle w:val="Tab3LastColNonGras"/>
              <w:rPr>
                <w:lang w:val="fr-FR"/>
              </w:rPr>
            </w:pPr>
            <w:r>
              <w:rPr>
                <w:lang w:val="fr-FR"/>
              </w:rPr>
              <w:t>0,02</w:t>
            </w:r>
          </w:p>
        </w:tc>
      </w:tr>
      <w:tr w14:paraId="425E236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0E572BC" w14:textId="77777777">
            <w:pPr>
              <w:pStyle w:val="Tab3FirstColNonGras"/>
              <w:rPr>
                <w:lang w:val="fr-FR"/>
              </w:rPr>
            </w:pPr>
            <w:r>
              <w:rPr>
                <w:lang w:val="fr-FR"/>
              </w:rPr>
              <w:t>STANTEC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D6F4F77"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24878C6" w14:textId="77777777">
            <w:pPr>
              <w:pStyle w:val="Tab3MiddleColNonGras"/>
              <w:rPr>
                <w:lang w:val="fr-FR"/>
              </w:rPr>
            </w:pPr>
            <w:r>
              <w:rPr>
                <w:lang w:val="fr-FR"/>
              </w:rPr>
              <w:t>1 260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14E1706" w14:textId="77777777">
            <w:pPr>
              <w:pStyle w:val="Tab3MiddleColNonGras"/>
              <w:rPr>
                <w:lang w:val="fr-FR"/>
              </w:rPr>
            </w:pPr>
            <w:r>
              <w:rPr>
                <w:lang w:val="fr-FR"/>
              </w:rPr>
              <w:t>136 819,72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BD62BE0" w14:textId="77777777">
            <w:pPr>
              <w:pStyle w:val="Tab3LastColNonGras"/>
              <w:rPr>
                <w:lang w:val="fr-FR"/>
              </w:rPr>
            </w:pPr>
            <w:r>
              <w:rPr>
                <w:lang w:val="fr-FR"/>
              </w:rPr>
              <w:t>0,04</w:t>
            </w:r>
          </w:p>
        </w:tc>
      </w:tr>
      <w:tr w14:paraId="3D20CB6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0808633" w14:textId="77777777">
            <w:pPr>
              <w:pStyle w:val="Tab3FirstColNonGras"/>
              <w:rPr>
                <w:lang w:val="fr-FR"/>
              </w:rPr>
            </w:pPr>
            <w:r>
              <w:rPr>
                <w:lang w:val="fr-FR"/>
              </w:rPr>
              <w:t>TELEPERFORMANCE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DA92852"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D7CAACD" w14:textId="77777777">
            <w:pPr>
              <w:pStyle w:val="Tab3MiddleColNonGras"/>
              <w:rPr>
                <w:lang w:val="fr-FR"/>
              </w:rPr>
            </w:pPr>
            <w:r>
              <w:rPr>
                <w:lang w:val="fr-FR"/>
              </w:rPr>
              <w:t>159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2B17295" w14:textId="77777777">
            <w:pPr>
              <w:pStyle w:val="Tab3MiddleColNonGras"/>
              <w:rPr>
                <w:lang w:val="fr-FR"/>
              </w:rPr>
            </w:pPr>
            <w:r>
              <w:rPr>
                <w:lang w:val="fr-FR"/>
              </w:rPr>
              <w:t>15 364,38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C859E90" w14:textId="77777777">
            <w:pPr>
              <w:pStyle w:val="Tab3LastColNonGras"/>
              <w:rPr>
                <w:lang w:val="fr-FR"/>
              </w:rPr>
            </w:pPr>
            <w:r>
              <w:rPr>
                <w:lang w:val="fr-FR"/>
              </w:rPr>
              <w:t>0,00</w:t>
            </w:r>
          </w:p>
        </w:tc>
      </w:tr>
      <w:tr w14:paraId="5C2E9E0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E275CF9" w14:textId="77777777">
            <w:pPr>
              <w:pStyle w:val="Tab3FirstColNonGras"/>
              <w:rPr>
                <w:lang w:val="fr-FR"/>
              </w:rPr>
            </w:pPr>
            <w:r>
              <w:rPr>
                <w:lang w:val="fr-FR"/>
              </w:rPr>
              <w:t>THOMSON REUTERS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726854A"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BD430A3" w14:textId="77777777">
            <w:pPr>
              <w:pStyle w:val="Tab3MiddleColNonGras"/>
              <w:rPr>
                <w:lang w:val="fr-FR"/>
              </w:rPr>
            </w:pPr>
            <w:r>
              <w:rPr>
                <w:lang w:val="fr-FR"/>
              </w:rPr>
              <w:t>962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65AC55D" w14:textId="77777777">
            <w:pPr>
              <w:pStyle w:val="Tab3MiddleColNonGras"/>
              <w:rPr>
                <w:lang w:val="fr-FR"/>
              </w:rPr>
            </w:pPr>
            <w:r>
              <w:rPr>
                <w:lang w:val="fr-FR"/>
              </w:rPr>
              <w:t>193 058,90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3526D0F" w14:textId="77777777">
            <w:pPr>
              <w:pStyle w:val="Tab3LastColNonGras"/>
              <w:rPr>
                <w:lang w:val="fr-FR"/>
              </w:rPr>
            </w:pPr>
            <w:r>
              <w:rPr>
                <w:lang w:val="fr-FR"/>
              </w:rPr>
              <w:t>0,06</w:t>
            </w:r>
          </w:p>
        </w:tc>
      </w:tr>
      <w:tr w14:paraId="65CDE7C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372757A" w14:textId="77777777">
            <w:pPr>
              <w:pStyle w:val="Tab3FirstColNonGras"/>
              <w:rPr>
                <w:lang w:val="fr-FR"/>
              </w:rPr>
            </w:pPr>
            <w:r>
              <w:rPr>
                <w:lang w:val="fr-FR"/>
              </w:rPr>
              <w:t>VERISK ANALYTICS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9117C7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EE1F04D" w14:textId="77777777">
            <w:pPr>
              <w:pStyle w:val="Tab3MiddleColNonGras"/>
              <w:rPr>
                <w:lang w:val="fr-FR"/>
              </w:rPr>
            </w:pPr>
            <w:r>
              <w:rPr>
                <w:lang w:val="fr-FR"/>
              </w:rPr>
              <w:t>671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CCC7D7D" w14:textId="77777777">
            <w:pPr>
              <w:pStyle w:val="Tab3MiddleColNonGras"/>
              <w:rPr>
                <w:lang w:val="fr-FR"/>
              </w:rPr>
            </w:pPr>
            <w:r>
              <w:rPr>
                <w:lang w:val="fr-FR"/>
              </w:rPr>
              <w:t>209 016,50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BF6CAC7" w14:textId="77777777">
            <w:pPr>
              <w:pStyle w:val="Tab3LastColNonGras"/>
              <w:rPr>
                <w:lang w:val="fr-FR"/>
              </w:rPr>
            </w:pPr>
            <w:r>
              <w:rPr>
                <w:lang w:val="fr-FR"/>
              </w:rPr>
              <w:t>0,06</w:t>
            </w:r>
          </w:p>
        </w:tc>
      </w:tr>
    </w:tbl>
    <w:p w:rsidR="001F4AEE" w14:paraId="2741423D" w14:textId="77777777">
      <w:pPr>
        <w:sectPr>
          <w:headerReference w:type="default" r:id="rId54"/>
          <w:footerReference w:type="default" r:id="rId55"/>
          <w:pgSz w:w="11900" w:h="16840"/>
          <w:pgMar w:top="2154" w:right="1134" w:bottom="1134" w:left="1134" w:header="400" w:footer="400" w:gutter="0"/>
          <w:cols w:space="720"/>
        </w:sectPr>
      </w:pPr>
    </w:p>
    <w:p w:rsidR="001F4AEE" w14:paraId="0D96F78E" w14:textId="77777777">
      <w:pPr>
        <w:spacing w:line="30" w:lineRule="exact"/>
        <w:rPr>
          <w:sz w:val="3"/>
        </w:rPr>
      </w:pPr>
    </w:p>
    <w:p w:rsidR="001F4AEE" w14:paraId="73A3AA72" w14:textId="77777777">
      <w:pPr>
        <w:pStyle w:val="TechnicalBookmark"/>
        <w:rPr>
          <w:lang w:val="fr-FR"/>
        </w:rPr>
      </w:pPr>
      <w:r>
        <w:rPr>
          <w:lang w:val="fr-FR"/>
        </w:rPr>
        <w:fldChar w:fldCharType="begin"/>
      </w:r>
      <w:r>
        <w:rPr>
          <w:lang w:val="fr-FR"/>
        </w:rPr>
        <w:instrText xml:space="preserve"> SET FB9F4F56D7FD0F3D2514AF1E9F9A88DC "" </w:instrText>
      </w:r>
      <w:r>
        <w:rPr>
          <w:lang w:val="fr-FR"/>
        </w:rPr>
        <w:fldChar w:fldCharType="separate"/>
      </w:r>
      <w:bookmarkStart w:id="110" w:name="FB9F4F56D7FD0F3D2514AF1E9F9A88DC"/>
      <w:bookmarkEnd w:id="110"/>
      <w:r>
        <w:rPr>
          <w:lang w:val="fr-FR"/>
        </w:rPr>
        <w:fldChar w:fldCharType="end"/>
      </w:r>
    </w:p>
    <w:p w:rsidR="001F4AEE" w14:paraId="68CEC987" w14:textId="77777777">
      <w:pPr>
        <w:pStyle w:val="H2"/>
        <w:rPr>
          <w:lang w:val="fr-FR"/>
        </w:rPr>
      </w:pPr>
      <w:r>
        <w:rPr>
          <w:lang w:val="fr-FR"/>
        </w:rPr>
        <w:t xml:space="preserve">Inventaire des éléments de bilan </w:t>
      </w:r>
    </w:p>
    <w:p w:rsidR="001F4AEE" w14:paraId="60163275" w14:textId="77777777">
      <w:pPr>
        <w:pStyle w:val="NoRefToc"/>
        <w:rPr>
          <w:lang w:val="fr-FR"/>
        </w:rPr>
      </w:pPr>
    </w:p>
    <w:p w:rsidR="001F4AEE" w14:paraId="4E9A9A5B" w14:textId="77777777">
      <w:pPr>
        <w:pStyle w:val="TechnicalBookmark"/>
        <w:rPr>
          <w:lang w:val="fr-FR"/>
        </w:rPr>
      </w:pPr>
      <w:r>
        <w:rPr>
          <w:lang w:val="fr-FR"/>
        </w:rPr>
        <w:fldChar w:fldCharType="begin"/>
      </w:r>
      <w:r>
        <w:rPr>
          <w:lang w:val="fr-FR"/>
        </w:rPr>
        <w:instrText xml:space="preserve"> SET DD9B6923D9E1505CEE4B8AEC0BD6895F "" </w:instrText>
      </w:r>
      <w:r>
        <w:rPr>
          <w:lang w:val="fr-FR"/>
        </w:rPr>
        <w:fldChar w:fldCharType="separate"/>
      </w:r>
      <w:bookmarkStart w:id="111" w:name="DD9B6923D9E1505CEE4B8AEC0BD6895F"/>
      <w:bookmarkEnd w:id="111"/>
      <w:r>
        <w:rPr>
          <w:lang w:val="fr-FR"/>
        </w:rPr>
        <w:fldChar w:fldCharType="end"/>
      </w:r>
    </w:p>
    <w:p w:rsidR="001F4AEE" w14:paraId="1C206576"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663F788B"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21E10F86"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21D4F3C"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49759C8B" w14:textId="77777777">
            <w:pPr>
              <w:pStyle w:val="EnteteTabMiddleColBordure"/>
              <w:spacing w:line="184" w:lineRule="exact"/>
              <w:rPr>
                <w:lang w:val="fr-FR"/>
              </w:rPr>
            </w:pPr>
            <w:r>
              <w:rPr>
                <w:lang w:val="fr-FR"/>
              </w:rPr>
              <w:t>Quantité ou</w:t>
            </w:r>
          </w:p>
          <w:p w:rsidR="001F4AEE" w14:paraId="400361FA"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CD299B9"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1660293F" w14:textId="77777777">
            <w:pPr>
              <w:pStyle w:val="EnteteTabLastColBordure"/>
              <w:spacing w:line="184" w:lineRule="exact"/>
              <w:rPr>
                <w:lang w:val="fr-FR"/>
              </w:rPr>
            </w:pPr>
            <w:r>
              <w:rPr>
                <w:lang w:val="fr-FR"/>
              </w:rPr>
              <w:t>% Actif</w:t>
            </w:r>
          </w:p>
          <w:p w:rsidR="001F4AEE" w14:paraId="021B23F7" w14:textId="77777777">
            <w:pPr>
              <w:pStyle w:val="EnteteTabLastColBordure"/>
              <w:spacing w:line="184" w:lineRule="exact"/>
              <w:rPr>
                <w:lang w:val="fr-FR"/>
              </w:rPr>
            </w:pPr>
            <w:r>
              <w:rPr>
                <w:lang w:val="fr-FR"/>
              </w:rPr>
              <w:t>Net</w:t>
            </w:r>
          </w:p>
        </w:tc>
      </w:tr>
      <w:tr w14:paraId="7B2AB70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C006715" w14:textId="77777777">
            <w:pPr>
              <w:pStyle w:val="Tab3FirstColNonGras"/>
              <w:rPr>
                <w:lang w:val="fr-FR"/>
              </w:rPr>
            </w:pPr>
            <w:r>
              <w:rPr>
                <w:lang w:val="fr-FR"/>
              </w:rPr>
              <w:t>WOLTERS KLUWER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67F616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FC87EE9" w14:textId="77777777">
            <w:pPr>
              <w:pStyle w:val="Tab3MiddleColNonGras"/>
              <w:rPr>
                <w:lang w:val="fr-FR"/>
              </w:rPr>
            </w:pPr>
            <w:r>
              <w:rPr>
                <w:lang w:val="fr-FR"/>
              </w:rPr>
              <w:t>1 266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9B9B052" w14:textId="77777777">
            <w:pPr>
              <w:pStyle w:val="Tab3MiddleColNonGras"/>
              <w:rPr>
                <w:lang w:val="fr-FR"/>
              </w:rPr>
            </w:pPr>
            <w:r>
              <w:rPr>
                <w:lang w:val="fr-FR"/>
              </w:rPr>
              <w:t>210 951,06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3AE2768" w14:textId="77777777">
            <w:pPr>
              <w:pStyle w:val="Tab3LastColNonGras"/>
              <w:rPr>
                <w:lang w:val="fr-FR"/>
              </w:rPr>
            </w:pPr>
            <w:r>
              <w:rPr>
                <w:lang w:val="fr-FR"/>
              </w:rPr>
              <w:t>0,06</w:t>
            </w:r>
          </w:p>
        </w:tc>
      </w:tr>
      <w:tr w14:paraId="285E297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30BC0692" w14:textId="77777777">
            <w:pPr>
              <w:pStyle w:val="Tab1FirstColGras"/>
              <w:rPr>
                <w:lang w:val="fr-FR"/>
              </w:rPr>
            </w:pPr>
            <w:r>
              <w:rPr>
                <w:lang w:val="fr-FR"/>
              </w:rPr>
              <w:t>Services clientèle divers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3854DB18"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2A65E935"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22B066A7" w14:textId="77777777">
            <w:pPr>
              <w:pStyle w:val="Tab1MiddleColGras"/>
              <w:rPr>
                <w:lang w:val="fr-FR"/>
              </w:rPr>
            </w:pPr>
            <w:r>
              <w:rPr>
                <w:lang w:val="fr-FR"/>
              </w:rPr>
              <w:t>103 056,69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45EEAAF" w14:textId="77777777">
            <w:pPr>
              <w:pStyle w:val="Tab1LastColGras"/>
              <w:rPr>
                <w:lang w:val="fr-FR"/>
              </w:rPr>
            </w:pPr>
            <w:r>
              <w:rPr>
                <w:lang w:val="fr-FR"/>
              </w:rPr>
              <w:t>0,03</w:t>
            </w:r>
          </w:p>
        </w:tc>
      </w:tr>
      <w:tr w14:paraId="003468F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F6AB285" w14:textId="77777777">
            <w:pPr>
              <w:pStyle w:val="Tab3FirstColNonGras"/>
              <w:rPr>
                <w:lang w:val="fr-FR"/>
              </w:rPr>
            </w:pPr>
            <w:r>
              <w:rPr>
                <w:lang w:val="fr-FR"/>
              </w:rPr>
              <w:t>EDENRED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B4F79C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3006D03" w14:textId="77777777">
            <w:pPr>
              <w:pStyle w:val="Tab3MiddleColNonGras"/>
              <w:rPr>
                <w:lang w:val="fr-FR"/>
              </w:rPr>
            </w:pPr>
            <w:r>
              <w:rPr>
                <w:lang w:val="fr-FR"/>
              </w:rPr>
              <w:t>1 264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262E721" w14:textId="77777777">
            <w:pPr>
              <w:pStyle w:val="Tab3MiddleColNonGras"/>
              <w:rPr>
                <w:lang w:val="fr-FR"/>
              </w:rPr>
            </w:pPr>
            <w:r>
              <w:rPr>
                <w:lang w:val="fr-FR"/>
              </w:rPr>
              <w:t>39 007,69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749AB11" w14:textId="77777777">
            <w:pPr>
              <w:pStyle w:val="Tab3LastColNonGras"/>
              <w:rPr>
                <w:lang w:val="fr-FR"/>
              </w:rPr>
            </w:pPr>
            <w:r>
              <w:rPr>
                <w:lang w:val="fr-FR"/>
              </w:rPr>
              <w:t>0,01</w:t>
            </w:r>
          </w:p>
        </w:tc>
      </w:tr>
      <w:tr w14:paraId="42996CE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5ACAC7D" w14:textId="77777777">
            <w:pPr>
              <w:pStyle w:val="Tab3FirstColNonGras"/>
              <w:rPr>
                <w:lang w:val="fr-FR"/>
              </w:rPr>
            </w:pPr>
            <w:r>
              <w:rPr>
                <w:lang w:val="fr-FR"/>
              </w:rPr>
              <w:t>PEARSON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C623DE8"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FEDD74E" w14:textId="77777777">
            <w:pPr>
              <w:pStyle w:val="Tab3MiddleColNonGras"/>
              <w:rPr>
                <w:lang w:val="fr-FR"/>
              </w:rPr>
            </w:pPr>
            <w:r>
              <w:rPr>
                <w:lang w:val="fr-FR"/>
              </w:rPr>
              <w:t>4 362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269A613" w14:textId="77777777">
            <w:pPr>
              <w:pStyle w:val="Tab3MiddleColNonGras"/>
              <w:rPr>
                <w:lang w:val="fr-FR"/>
              </w:rPr>
            </w:pPr>
            <w:r>
              <w:rPr>
                <w:lang w:val="fr-FR"/>
              </w:rPr>
              <w:t>64 049,00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A14FF77" w14:textId="77777777">
            <w:pPr>
              <w:pStyle w:val="Tab3LastColNonGras"/>
              <w:rPr>
                <w:lang w:val="fr-FR"/>
              </w:rPr>
            </w:pPr>
            <w:r>
              <w:rPr>
                <w:lang w:val="fr-FR"/>
              </w:rPr>
              <w:t>0,02</w:t>
            </w:r>
          </w:p>
        </w:tc>
      </w:tr>
      <w:tr w14:paraId="59D9634C"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2F35FEA" w14:textId="77777777">
            <w:pPr>
              <w:pStyle w:val="Tab1FirstColGras"/>
              <w:rPr>
                <w:lang w:val="fr-FR"/>
              </w:rPr>
            </w:pPr>
            <w:r>
              <w:rPr>
                <w:lang w:val="fr-FR"/>
              </w:rPr>
              <w:t>Services de télécommunication diversifiés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1DB35BDE"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04D80E8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6FB2BB7E" w14:textId="77777777">
            <w:pPr>
              <w:pStyle w:val="Tab1MiddleColGras"/>
              <w:rPr>
                <w:lang w:val="fr-FR"/>
              </w:rPr>
            </w:pPr>
            <w:r>
              <w:rPr>
                <w:lang w:val="fr-FR"/>
              </w:rPr>
              <w:t>4 236 302,86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6CFB82D" w14:textId="77777777">
            <w:pPr>
              <w:pStyle w:val="Tab1LastColGras"/>
              <w:rPr>
                <w:lang w:val="fr-FR"/>
              </w:rPr>
            </w:pPr>
            <w:r>
              <w:rPr>
                <w:lang w:val="fr-FR"/>
              </w:rPr>
              <w:t>1,22</w:t>
            </w:r>
          </w:p>
        </w:tc>
      </w:tr>
      <w:tr w14:paraId="7437C23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3C3495B" w14:textId="77777777">
            <w:pPr>
              <w:pStyle w:val="Tab3FirstColNonGras"/>
              <w:rPr>
                <w:lang w:val="fr-FR"/>
              </w:rPr>
            </w:pPr>
            <w:r>
              <w:rPr>
                <w:lang w:val="fr-FR"/>
              </w:rPr>
              <w:t>AT&amp;T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5E1ED5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75C09A9" w14:textId="77777777">
            <w:pPr>
              <w:pStyle w:val="Tab3MiddleColNonGras"/>
              <w:rPr>
                <w:lang w:val="fr-FR"/>
              </w:rPr>
            </w:pPr>
            <w:r>
              <w:rPr>
                <w:lang w:val="fr-FR"/>
              </w:rPr>
              <w:t>35 831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0EB826C" w14:textId="77777777">
            <w:pPr>
              <w:pStyle w:val="Tab3MiddleColNonGras"/>
              <w:rPr>
                <w:lang w:val="fr-FR"/>
              </w:rPr>
            </w:pPr>
            <w:r>
              <w:rPr>
                <w:lang w:val="fr-FR"/>
              </w:rPr>
              <w:t>1 036 949,14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5F71D9D" w14:textId="77777777">
            <w:pPr>
              <w:pStyle w:val="Tab3LastColNonGras"/>
              <w:rPr>
                <w:lang w:val="fr-FR"/>
              </w:rPr>
            </w:pPr>
            <w:r>
              <w:rPr>
                <w:lang w:val="fr-FR"/>
              </w:rPr>
              <w:t>0,31</w:t>
            </w:r>
          </w:p>
        </w:tc>
      </w:tr>
      <w:tr w14:paraId="256EA4C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A236C76" w14:textId="77777777">
            <w:pPr>
              <w:pStyle w:val="Tab3FirstColNonGras"/>
              <w:rPr>
                <w:lang w:val="fr-FR"/>
              </w:rPr>
            </w:pPr>
            <w:r>
              <w:rPr>
                <w:lang w:val="fr-FR"/>
              </w:rPr>
              <w:t>BCE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C04BDA9"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CECF195" w14:textId="77777777">
            <w:pPr>
              <w:pStyle w:val="Tab3MiddleColNonGras"/>
              <w:rPr>
                <w:lang w:val="fr-FR"/>
              </w:rPr>
            </w:pPr>
            <w:r>
              <w:rPr>
                <w:lang w:val="fr-FR"/>
              </w:rPr>
              <w:t>215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8FCBE43" w14:textId="77777777">
            <w:pPr>
              <w:pStyle w:val="Tab3MiddleColNonGras"/>
              <w:rPr>
                <w:lang w:val="fr-FR"/>
              </w:rPr>
            </w:pPr>
            <w:r>
              <w:rPr>
                <w:lang w:val="fr-FR"/>
              </w:rPr>
              <w:t>4 758,43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31C0813" w14:textId="77777777">
            <w:pPr>
              <w:pStyle w:val="Tab3LastColNonGras"/>
              <w:rPr>
                <w:lang w:val="fr-FR"/>
              </w:rPr>
            </w:pPr>
            <w:r>
              <w:rPr>
                <w:lang w:val="fr-FR"/>
              </w:rPr>
              <w:t>0,00</w:t>
            </w:r>
          </w:p>
        </w:tc>
      </w:tr>
      <w:tr w14:paraId="6AED197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0B46B5E" w14:textId="77777777">
            <w:pPr>
              <w:pStyle w:val="Tab3FirstColNonGras"/>
              <w:rPr>
                <w:lang w:val="fr-FR"/>
              </w:rPr>
            </w:pPr>
            <w:r>
              <w:rPr>
                <w:lang w:val="fr-FR"/>
              </w:rPr>
              <w:t>BT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487BF67"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6C6AC7C" w14:textId="77777777">
            <w:pPr>
              <w:pStyle w:val="Tab3MiddleColNonGras"/>
              <w:rPr>
                <w:lang w:val="fr-FR"/>
              </w:rPr>
            </w:pPr>
            <w:r>
              <w:rPr>
                <w:lang w:val="fr-FR"/>
              </w:rPr>
              <w:t>32 501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ED3D143" w14:textId="77777777">
            <w:pPr>
              <w:pStyle w:val="Tab3MiddleColNonGras"/>
              <w:rPr>
                <w:lang w:val="fr-FR"/>
              </w:rPr>
            </w:pPr>
            <w:r>
              <w:rPr>
                <w:lang w:val="fr-FR"/>
              </w:rPr>
              <w:t>86 292,49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F0FC45F" w14:textId="77777777">
            <w:pPr>
              <w:pStyle w:val="Tab3LastColNonGras"/>
              <w:rPr>
                <w:lang w:val="fr-FR"/>
              </w:rPr>
            </w:pPr>
            <w:r>
              <w:rPr>
                <w:lang w:val="fr-FR"/>
              </w:rPr>
              <w:t>0,02</w:t>
            </w:r>
          </w:p>
        </w:tc>
      </w:tr>
      <w:tr w14:paraId="5692B51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4F804B1" w14:textId="77777777">
            <w:pPr>
              <w:pStyle w:val="Tab3FirstColNonGras"/>
              <w:rPr>
                <w:lang w:val="fr-FR"/>
              </w:rPr>
            </w:pPr>
            <w:r>
              <w:rPr>
                <w:lang w:val="fr-FR"/>
              </w:rPr>
              <w:t>CELLNEX TELECOM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9D8AEF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8BD7AE5" w14:textId="77777777">
            <w:pPr>
              <w:pStyle w:val="Tab3MiddleColNonGras"/>
              <w:rPr>
                <w:lang w:val="fr-FR"/>
              </w:rPr>
            </w:pPr>
            <w:r>
              <w:rPr>
                <w:lang w:val="fr-FR"/>
              </w:rPr>
              <w:t>2 666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820875F" w14:textId="77777777">
            <w:pPr>
              <w:pStyle w:val="Tab3MiddleColNonGras"/>
              <w:rPr>
                <w:lang w:val="fr-FR"/>
              </w:rPr>
            </w:pPr>
            <w:r>
              <w:rPr>
                <w:lang w:val="fr-FR"/>
              </w:rPr>
              <w:t>103 116,50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2F61BBC" w14:textId="77777777">
            <w:pPr>
              <w:pStyle w:val="Tab3LastColNonGras"/>
              <w:rPr>
                <w:lang w:val="fr-FR"/>
              </w:rPr>
            </w:pPr>
            <w:r>
              <w:rPr>
                <w:lang w:val="fr-FR"/>
              </w:rPr>
              <w:t>0,03</w:t>
            </w:r>
          </w:p>
        </w:tc>
      </w:tr>
      <w:tr w14:paraId="45D4068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53928BD" w14:textId="77777777">
            <w:pPr>
              <w:pStyle w:val="Tab3FirstColNonGras"/>
              <w:rPr>
                <w:lang w:val="fr-FR"/>
              </w:rPr>
            </w:pPr>
            <w:r>
              <w:rPr>
                <w:lang w:val="fr-FR"/>
              </w:rPr>
              <w:t>DEUTSCHE TELEKOM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CDCB32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9D1A681" w14:textId="77777777">
            <w:pPr>
              <w:pStyle w:val="Tab3MiddleColNonGras"/>
              <w:rPr>
                <w:lang w:val="fr-FR"/>
              </w:rPr>
            </w:pPr>
            <w:r>
              <w:rPr>
                <w:lang w:val="fr-FR"/>
              </w:rPr>
              <w:t>18 067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AED5357" w14:textId="77777777">
            <w:pPr>
              <w:pStyle w:val="Tab3MiddleColNonGras"/>
              <w:rPr>
                <w:lang w:val="fr-FR"/>
              </w:rPr>
            </w:pPr>
            <w:r>
              <w:rPr>
                <w:lang w:val="fr-FR"/>
              </w:rPr>
              <w:t>656 810,15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DA31E74" w14:textId="77777777">
            <w:pPr>
              <w:pStyle w:val="Tab3LastColNonGras"/>
              <w:rPr>
                <w:lang w:val="fr-FR"/>
              </w:rPr>
            </w:pPr>
            <w:r>
              <w:rPr>
                <w:lang w:val="fr-FR"/>
              </w:rPr>
              <w:t>0,19</w:t>
            </w:r>
          </w:p>
        </w:tc>
      </w:tr>
      <w:tr w14:paraId="1034A12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20C5B30" w14:textId="77777777">
            <w:pPr>
              <w:pStyle w:val="Tab3FirstColNonGras"/>
              <w:rPr>
                <w:lang w:val="fr-FR"/>
              </w:rPr>
            </w:pPr>
            <w:r>
              <w:rPr>
                <w:lang w:val="fr-FR"/>
              </w:rPr>
              <w:t>ELISA COMMUNICATION OXJ -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F1325F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CA4535D" w14:textId="77777777">
            <w:pPr>
              <w:pStyle w:val="Tab3MiddleColNonGras"/>
              <w:rPr>
                <w:lang w:val="fr-FR"/>
              </w:rPr>
            </w:pPr>
            <w:r>
              <w:rPr>
                <w:lang w:val="fr-FR"/>
              </w:rPr>
              <w:t>1 346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71F006F" w14:textId="77777777">
            <w:pPr>
              <w:pStyle w:val="Tab3MiddleColNonGras"/>
              <w:rPr>
                <w:lang w:val="fr-FR"/>
              </w:rPr>
            </w:pPr>
            <w:r>
              <w:rPr>
                <w:lang w:val="fr-FR"/>
              </w:rPr>
              <w:t>74 386,50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B6080AA" w14:textId="77777777">
            <w:pPr>
              <w:pStyle w:val="Tab3LastColNonGras"/>
              <w:rPr>
                <w:lang w:val="fr-FR"/>
              </w:rPr>
            </w:pPr>
            <w:r>
              <w:rPr>
                <w:lang w:val="fr-FR"/>
              </w:rPr>
              <w:t>0,02</w:t>
            </w:r>
          </w:p>
        </w:tc>
      </w:tr>
      <w:tr w14:paraId="75D7DA3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E17DD4A" w14:textId="77777777">
            <w:pPr>
              <w:pStyle w:val="Tab3FirstColNonGras"/>
              <w:rPr>
                <w:lang w:val="fr-FR"/>
              </w:rPr>
            </w:pPr>
            <w:r>
              <w:rPr>
                <w:lang w:val="fr-FR"/>
              </w:rPr>
              <w:t>KONINKLIJKE KPN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491449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4010D20" w14:textId="77777777">
            <w:pPr>
              <w:pStyle w:val="Tab3MiddleColNonGras"/>
              <w:rPr>
                <w:lang w:val="fr-FR"/>
              </w:rPr>
            </w:pPr>
            <w:r>
              <w:rPr>
                <w:lang w:val="fr-FR"/>
              </w:rPr>
              <w:t>25 271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7616E46" w14:textId="77777777">
            <w:pPr>
              <w:pStyle w:val="Tab3MiddleColNonGras"/>
              <w:rPr>
                <w:lang w:val="fr-FR"/>
              </w:rPr>
            </w:pPr>
            <w:r>
              <w:rPr>
                <w:lang w:val="fr-FR"/>
              </w:rPr>
              <w:t>122 691,81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FD0519C" w14:textId="77777777">
            <w:pPr>
              <w:pStyle w:val="Tab3LastColNonGras"/>
              <w:rPr>
                <w:lang w:val="fr-FR"/>
              </w:rPr>
            </w:pPr>
            <w:r>
              <w:rPr>
                <w:lang w:val="fr-FR"/>
              </w:rPr>
              <w:t>0,04</w:t>
            </w:r>
          </w:p>
        </w:tc>
      </w:tr>
      <w:tr w14:paraId="58D9242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4DC26B5" w14:textId="77777777">
            <w:pPr>
              <w:pStyle w:val="Tab3FirstColNonGras"/>
              <w:rPr>
                <w:lang w:val="fr-FR"/>
              </w:rPr>
            </w:pPr>
            <w:r>
              <w:rPr>
                <w:lang w:val="fr-FR"/>
              </w:rPr>
              <w:t>NIPPON TELEGRAPH &amp; TELEPHONE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CC5D1C9"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C0DD261" w14:textId="77777777">
            <w:pPr>
              <w:pStyle w:val="Tab3MiddleColNonGras"/>
              <w:rPr>
                <w:lang w:val="fr-FR"/>
              </w:rPr>
            </w:pPr>
            <w:r>
              <w:rPr>
                <w:lang w:val="fr-FR"/>
              </w:rPr>
              <w:t>138 300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94C9C39" w14:textId="77777777">
            <w:pPr>
              <w:pStyle w:val="Tab3MiddleColNonGras"/>
              <w:rPr>
                <w:lang w:val="fr-FR"/>
              </w:rPr>
            </w:pPr>
            <w:r>
              <w:rPr>
                <w:lang w:val="fr-FR"/>
              </w:rPr>
              <w:t>147 448,52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B11E709" w14:textId="77777777">
            <w:pPr>
              <w:pStyle w:val="Tab3LastColNonGras"/>
              <w:rPr>
                <w:lang w:val="fr-FR"/>
              </w:rPr>
            </w:pPr>
            <w:r>
              <w:rPr>
                <w:lang w:val="fr-FR"/>
              </w:rPr>
              <w:t>0,04</w:t>
            </w:r>
          </w:p>
        </w:tc>
      </w:tr>
      <w:tr w14:paraId="279A857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D4DBF5F" w14:textId="77777777">
            <w:pPr>
              <w:pStyle w:val="Tab3FirstColNonGras"/>
              <w:rPr>
                <w:lang w:val="fr-FR"/>
              </w:rPr>
            </w:pPr>
            <w:r>
              <w:rPr>
                <w:lang w:val="fr-FR"/>
              </w:rPr>
              <w:t>ORANGE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AB35E0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E2A1292" w14:textId="77777777">
            <w:pPr>
              <w:pStyle w:val="Tab3MiddleColNonGras"/>
              <w:rPr>
                <w:lang w:val="fr-FR"/>
              </w:rPr>
            </w:pPr>
            <w:r>
              <w:rPr>
                <w:lang w:val="fr-FR"/>
              </w:rPr>
              <w:t>8 902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F174C73" w14:textId="77777777">
            <w:pPr>
              <w:pStyle w:val="Tab3MiddleColNonGras"/>
              <w:rPr>
                <w:lang w:val="fr-FR"/>
              </w:rPr>
            </w:pPr>
            <w:r>
              <w:rPr>
                <w:lang w:val="fr-FR"/>
              </w:rPr>
              <w:t>134 956,75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BDC905A" w14:textId="77777777">
            <w:pPr>
              <w:pStyle w:val="Tab3LastColNonGras"/>
              <w:rPr>
                <w:lang w:val="fr-FR"/>
              </w:rPr>
            </w:pPr>
            <w:r>
              <w:rPr>
                <w:lang w:val="fr-FR"/>
              </w:rPr>
              <w:t>0,04</w:t>
            </w:r>
          </w:p>
        </w:tc>
      </w:tr>
      <w:tr w14:paraId="5BB0574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E000079" w14:textId="77777777">
            <w:pPr>
              <w:pStyle w:val="Tab3FirstColNonGras"/>
              <w:rPr>
                <w:lang w:val="fr-FR"/>
              </w:rPr>
            </w:pPr>
            <w:r>
              <w:rPr>
                <w:lang w:val="fr-FR"/>
              </w:rPr>
              <w:t>QUEBECOR INC  -CL 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11F09A9"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EC25ADA" w14:textId="77777777">
            <w:pPr>
              <w:pStyle w:val="Tab3MiddleColNonGras"/>
              <w:rPr>
                <w:lang w:val="fr-FR"/>
              </w:rPr>
            </w:pPr>
            <w:r>
              <w:rPr>
                <w:lang w:val="fr-FR"/>
              </w:rPr>
              <w:t>274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12461D2" w14:textId="77777777">
            <w:pPr>
              <w:pStyle w:val="Tab3MiddleColNonGras"/>
              <w:rPr>
                <w:lang w:val="fr-FR"/>
              </w:rPr>
            </w:pPr>
            <w:r>
              <w:rPr>
                <w:lang w:val="fr-FR"/>
              </w:rPr>
              <w:t>8 323,25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BC97C3F" w14:textId="77777777">
            <w:pPr>
              <w:pStyle w:val="Tab3LastColNonGras"/>
              <w:rPr>
                <w:lang w:val="fr-FR"/>
              </w:rPr>
            </w:pPr>
            <w:r>
              <w:rPr>
                <w:lang w:val="fr-FR"/>
              </w:rPr>
              <w:t>0,00</w:t>
            </w:r>
          </w:p>
        </w:tc>
      </w:tr>
      <w:tr w14:paraId="0AB5E17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7100E57" w14:textId="77777777">
            <w:pPr>
              <w:pStyle w:val="Tab3FirstColNonGras"/>
              <w:rPr>
                <w:lang w:val="fr-FR"/>
              </w:rPr>
            </w:pPr>
            <w:r>
              <w:rPr>
                <w:lang w:val="fr-FR"/>
              </w:rPr>
              <w:t>SWISSCOM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E02DC25"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EC46EA7" w14:textId="77777777">
            <w:pPr>
              <w:pStyle w:val="Tab3MiddleColNonGras"/>
              <w:rPr>
                <w:lang w:val="fr-FR"/>
              </w:rPr>
            </w:pPr>
            <w:r>
              <w:rPr>
                <w:lang w:val="fr-FR"/>
              </w:rPr>
              <w:t>119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0D5D622" w14:textId="77777777">
            <w:pPr>
              <w:pStyle w:val="Tab3MiddleColNonGras"/>
              <w:rPr>
                <w:lang w:val="fr-FR"/>
              </w:rPr>
            </w:pPr>
            <w:r>
              <w:rPr>
                <w:lang w:val="fr-FR"/>
              </w:rPr>
              <w:t>84 095,45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684AB8B" w14:textId="77777777">
            <w:pPr>
              <w:pStyle w:val="Tab3LastColNonGras"/>
              <w:rPr>
                <w:lang w:val="fr-FR"/>
              </w:rPr>
            </w:pPr>
            <w:r>
              <w:rPr>
                <w:lang w:val="fr-FR"/>
              </w:rPr>
              <w:t>0,02</w:t>
            </w:r>
          </w:p>
        </w:tc>
      </w:tr>
      <w:tr w14:paraId="7F7E7F9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E986B1F" w14:textId="77777777">
            <w:pPr>
              <w:pStyle w:val="Tab3FirstColNonGras"/>
              <w:rPr>
                <w:lang w:val="fr-FR"/>
              </w:rPr>
            </w:pPr>
            <w:r>
              <w:rPr>
                <w:lang w:val="fr-FR"/>
              </w:rPr>
              <w:t>TELEFONICA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85287F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137B4F9" w14:textId="77777777">
            <w:pPr>
              <w:pStyle w:val="Tab3MiddleColNonGras"/>
              <w:rPr>
                <w:lang w:val="fr-FR"/>
              </w:rPr>
            </w:pPr>
            <w:r>
              <w:rPr>
                <w:lang w:val="fr-FR"/>
              </w:rPr>
              <w:t>18 181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12699E9" w14:textId="77777777">
            <w:pPr>
              <w:pStyle w:val="Tab3MiddleColNonGras"/>
              <w:rPr>
                <w:lang w:val="fr-FR"/>
              </w:rPr>
            </w:pPr>
            <w:r>
              <w:rPr>
                <w:lang w:val="fr-FR"/>
              </w:rPr>
              <w:t>95 141,60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0EB573D" w14:textId="77777777">
            <w:pPr>
              <w:pStyle w:val="Tab3LastColNonGras"/>
              <w:rPr>
                <w:lang w:val="fr-FR"/>
              </w:rPr>
            </w:pPr>
            <w:r>
              <w:rPr>
                <w:lang w:val="fr-FR"/>
              </w:rPr>
              <w:t>0,03</w:t>
            </w:r>
          </w:p>
        </w:tc>
      </w:tr>
      <w:tr w14:paraId="02A93C3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2F1F284" w14:textId="77777777">
            <w:pPr>
              <w:pStyle w:val="Tab3FirstColNonGras"/>
              <w:rPr>
                <w:lang w:val="fr-FR"/>
              </w:rPr>
            </w:pPr>
            <w:r>
              <w:rPr>
                <w:lang w:val="fr-FR"/>
              </w:rPr>
              <w:t>TELENOR ASA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6F17505" w14:textId="77777777">
            <w:pPr>
              <w:pStyle w:val="Tab1MiddleColNonGrasCentre"/>
              <w:rPr>
                <w:lang w:val="fr-FR"/>
              </w:rPr>
            </w:pPr>
            <w:r>
              <w:rPr>
                <w:lang w:val="fr-FR"/>
              </w:rPr>
              <w:t>NOK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822E3BB" w14:textId="77777777">
            <w:pPr>
              <w:pStyle w:val="Tab3MiddleColNonGras"/>
              <w:rPr>
                <w:lang w:val="fr-FR"/>
              </w:rPr>
            </w:pPr>
            <w:r>
              <w:rPr>
                <w:lang w:val="fr-FR"/>
              </w:rPr>
              <w:t>3 303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D876F7F" w14:textId="77777777">
            <w:pPr>
              <w:pStyle w:val="Tab3MiddleColNonGras"/>
              <w:rPr>
                <w:lang w:val="fr-FR"/>
              </w:rPr>
            </w:pPr>
            <w:r>
              <w:rPr>
                <w:lang w:val="fr-FR"/>
              </w:rPr>
              <w:t>51 145,62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FCD50FF" w14:textId="77777777">
            <w:pPr>
              <w:pStyle w:val="Tab3LastColNonGras"/>
              <w:rPr>
                <w:lang w:val="fr-FR"/>
              </w:rPr>
            </w:pPr>
            <w:r>
              <w:rPr>
                <w:lang w:val="fr-FR"/>
              </w:rPr>
              <w:t>0,01</w:t>
            </w:r>
          </w:p>
        </w:tc>
      </w:tr>
      <w:tr w14:paraId="11047E7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1774A38" w14:textId="77777777">
            <w:pPr>
              <w:pStyle w:val="Tab3FirstColNonGras"/>
              <w:rPr>
                <w:lang w:val="fr-FR"/>
              </w:rPr>
            </w:pPr>
            <w:r>
              <w:rPr>
                <w:lang w:val="fr-FR"/>
              </w:rPr>
              <w:t>TELIA CO AB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8670A15"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3FA99E7" w14:textId="77777777">
            <w:pPr>
              <w:pStyle w:val="Tab3MiddleColNonGras"/>
              <w:rPr>
                <w:lang w:val="fr-FR"/>
              </w:rPr>
            </w:pPr>
            <w:r>
              <w:rPr>
                <w:lang w:val="fr-FR"/>
              </w:rPr>
              <w:t>11 426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FEEF754" w14:textId="77777777">
            <w:pPr>
              <w:pStyle w:val="Tab3MiddleColNonGras"/>
              <w:rPr>
                <w:lang w:val="fr-FR"/>
              </w:rPr>
            </w:pPr>
            <w:r>
              <w:rPr>
                <w:lang w:val="fr-FR"/>
              </w:rPr>
              <w:t>40 726,68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D932522" w14:textId="77777777">
            <w:pPr>
              <w:pStyle w:val="Tab3LastColNonGras"/>
              <w:rPr>
                <w:lang w:val="fr-FR"/>
              </w:rPr>
            </w:pPr>
            <w:r>
              <w:rPr>
                <w:lang w:val="fr-FR"/>
              </w:rPr>
              <w:t>0,01</w:t>
            </w:r>
          </w:p>
        </w:tc>
      </w:tr>
      <w:tr w14:paraId="4ACDA39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4747178" w14:textId="77777777">
            <w:pPr>
              <w:pStyle w:val="Tab3FirstColNonGras"/>
              <w:rPr>
                <w:lang w:val="fr-FR"/>
              </w:rPr>
            </w:pPr>
            <w:r>
              <w:rPr>
                <w:lang w:val="fr-FR"/>
              </w:rPr>
              <w:t>TELSTRA GROUP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2320B6B"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4ECE768" w14:textId="77777777">
            <w:pPr>
              <w:pStyle w:val="Tab3MiddleColNonGras"/>
              <w:rPr>
                <w:lang w:val="fr-FR"/>
              </w:rPr>
            </w:pPr>
            <w:r>
              <w:rPr>
                <w:lang w:val="fr-FR"/>
              </w:rPr>
              <w:t>17 738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F764AF6" w14:textId="77777777">
            <w:pPr>
              <w:pStyle w:val="Tab3MiddleColNonGras"/>
              <w:rPr>
                <w:lang w:val="fr-FR"/>
              </w:rPr>
            </w:pPr>
            <w:r>
              <w:rPr>
                <w:lang w:val="fr-FR"/>
              </w:rPr>
              <w:t>56 264,01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8269277" w14:textId="77777777">
            <w:pPr>
              <w:pStyle w:val="Tab3LastColNonGras"/>
              <w:rPr>
                <w:lang w:val="fr-FR"/>
              </w:rPr>
            </w:pPr>
            <w:r>
              <w:rPr>
                <w:lang w:val="fr-FR"/>
              </w:rPr>
              <w:t>0,02</w:t>
            </w:r>
          </w:p>
        </w:tc>
      </w:tr>
      <w:tr w14:paraId="225F4EA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E08BE54" w14:textId="77777777">
            <w:pPr>
              <w:pStyle w:val="Tab3FirstColNonGras"/>
              <w:rPr>
                <w:lang w:val="fr-FR"/>
              </w:rPr>
            </w:pPr>
            <w:r>
              <w:rPr>
                <w:lang w:val="fr-FR"/>
              </w:rPr>
              <w:t>TELUS (NON CANADIAN)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07A6F63"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40FFEC2" w14:textId="77777777">
            <w:pPr>
              <w:pStyle w:val="Tab3MiddleColNonGras"/>
              <w:rPr>
                <w:lang w:val="fr-FR"/>
              </w:rPr>
            </w:pPr>
            <w:r>
              <w:rPr>
                <w:lang w:val="fr-FR"/>
              </w:rPr>
              <w:t>4 604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4AD317D" w14:textId="77777777">
            <w:pPr>
              <w:pStyle w:val="Tab3MiddleColNonGras"/>
              <w:rPr>
                <w:lang w:val="fr-FR"/>
              </w:rPr>
            </w:pPr>
            <w:r>
              <w:rPr>
                <w:lang w:val="fr-FR"/>
              </w:rPr>
              <w:t>73 824,50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3508085" w14:textId="77777777">
            <w:pPr>
              <w:pStyle w:val="Tab3LastColNonGras"/>
              <w:rPr>
                <w:lang w:val="fr-FR"/>
              </w:rPr>
            </w:pPr>
            <w:r>
              <w:rPr>
                <w:lang w:val="fr-FR"/>
              </w:rPr>
              <w:t>0,02</w:t>
            </w:r>
          </w:p>
        </w:tc>
      </w:tr>
      <w:tr w14:paraId="2296E19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D5A0CF4" w14:textId="77777777">
            <w:pPr>
              <w:pStyle w:val="Tab3FirstColNonGras"/>
              <w:rPr>
                <w:lang w:val="fr-FR"/>
              </w:rPr>
            </w:pPr>
            <w:r>
              <w:rPr>
                <w:lang w:val="fr-FR"/>
              </w:rPr>
              <w:t>T-MOBILE US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2AFB8C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A502605" w14:textId="77777777">
            <w:pPr>
              <w:pStyle w:val="Tab3MiddleColNonGras"/>
              <w:rPr>
                <w:lang w:val="fr-FR"/>
              </w:rPr>
            </w:pPr>
            <w:r>
              <w:rPr>
                <w:lang w:val="fr-FR"/>
              </w:rPr>
              <w:t>2 218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FCF8075" w14:textId="77777777">
            <w:pPr>
              <w:pStyle w:val="Tab3MiddleColNonGras"/>
              <w:rPr>
                <w:lang w:val="fr-FR"/>
              </w:rPr>
            </w:pPr>
            <w:r>
              <w:rPr>
                <w:lang w:val="fr-FR"/>
              </w:rPr>
              <w:t>528 460,68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67FDEE5" w14:textId="77777777">
            <w:pPr>
              <w:pStyle w:val="Tab3LastColNonGras"/>
              <w:rPr>
                <w:lang w:val="fr-FR"/>
              </w:rPr>
            </w:pPr>
            <w:r>
              <w:rPr>
                <w:lang w:val="fr-FR"/>
              </w:rPr>
              <w:t>0,15</w:t>
            </w:r>
          </w:p>
        </w:tc>
      </w:tr>
      <w:tr w14:paraId="5075D42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1593500" w14:textId="77777777">
            <w:pPr>
              <w:pStyle w:val="Tab3FirstColNonGras"/>
              <w:rPr>
                <w:lang w:val="fr-FR"/>
              </w:rPr>
            </w:pPr>
            <w:r>
              <w:rPr>
                <w:lang w:val="fr-FR"/>
              </w:rPr>
              <w:t>VERIZON COMMUNICATIONS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652FDF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8E6CD91" w14:textId="77777777">
            <w:pPr>
              <w:pStyle w:val="Tab3MiddleColNonGras"/>
              <w:rPr>
                <w:lang w:val="fr-FR"/>
              </w:rPr>
            </w:pPr>
            <w:r>
              <w:rPr>
                <w:lang w:val="fr-FR"/>
              </w:rPr>
              <w:t>21 514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9691AC7" w14:textId="77777777">
            <w:pPr>
              <w:pStyle w:val="Tab3MiddleColNonGras"/>
              <w:rPr>
                <w:lang w:val="fr-FR"/>
              </w:rPr>
            </w:pPr>
            <w:r>
              <w:rPr>
                <w:lang w:val="fr-FR"/>
              </w:rPr>
              <w:t>930 910,78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0351BBC" w14:textId="77777777">
            <w:pPr>
              <w:pStyle w:val="Tab3LastColNonGras"/>
              <w:rPr>
                <w:lang w:val="fr-FR"/>
              </w:rPr>
            </w:pPr>
            <w:r>
              <w:rPr>
                <w:lang w:val="fr-FR"/>
              </w:rPr>
              <w:t>0,27</w:t>
            </w:r>
          </w:p>
        </w:tc>
      </w:tr>
      <w:tr w14:paraId="23A286A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53591311" w14:textId="77777777">
            <w:pPr>
              <w:pStyle w:val="Tab1FirstColGras"/>
              <w:rPr>
                <w:lang w:val="fr-FR"/>
              </w:rPr>
            </w:pPr>
            <w:r>
              <w:rPr>
                <w:lang w:val="fr-FR"/>
              </w:rPr>
              <w:t>Services de télécommunication mobile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1B3D5BC7"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BF6AAA6"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60FD7579" w14:textId="77777777">
            <w:pPr>
              <w:pStyle w:val="Tab1MiddleColGras"/>
              <w:rPr>
                <w:lang w:val="fr-FR"/>
              </w:rPr>
            </w:pPr>
            <w:r>
              <w:rPr>
                <w:lang w:val="fr-FR"/>
              </w:rPr>
              <w:t>3 464 989,36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690949F" w14:textId="77777777">
            <w:pPr>
              <w:pStyle w:val="Tab1LastColGras"/>
              <w:rPr>
                <w:lang w:val="fr-FR"/>
              </w:rPr>
            </w:pPr>
            <w:r>
              <w:rPr>
                <w:lang w:val="fr-FR"/>
              </w:rPr>
              <w:t>1,00</w:t>
            </w:r>
          </w:p>
        </w:tc>
      </w:tr>
      <w:tr w14:paraId="79C62BA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D14AE47" w14:textId="77777777">
            <w:pPr>
              <w:pStyle w:val="Tab3FirstColNonGras"/>
              <w:rPr>
                <w:lang w:val="fr-FR"/>
              </w:rPr>
            </w:pPr>
            <w:r>
              <w:rPr>
                <w:lang w:val="fr-FR"/>
              </w:rPr>
              <w:t>AMERICAN TOWER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D6EAC1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9CBCC95" w14:textId="77777777">
            <w:pPr>
              <w:pStyle w:val="Tab3MiddleColNonGras"/>
              <w:rPr>
                <w:lang w:val="fr-FR"/>
              </w:rPr>
            </w:pPr>
            <w:r>
              <w:rPr>
                <w:lang w:val="fr-FR"/>
              </w:rPr>
              <w:t>5 624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A746A1D" w14:textId="77777777">
            <w:pPr>
              <w:pStyle w:val="Tab3MiddleColNonGras"/>
              <w:rPr>
                <w:lang w:val="fr-FR"/>
              </w:rPr>
            </w:pPr>
            <w:r>
              <w:rPr>
                <w:lang w:val="fr-FR"/>
              </w:rPr>
              <w:t>1 243 016,48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F17A948" w14:textId="77777777">
            <w:pPr>
              <w:pStyle w:val="Tab3LastColNonGras"/>
              <w:rPr>
                <w:lang w:val="fr-FR"/>
              </w:rPr>
            </w:pPr>
            <w:r>
              <w:rPr>
                <w:lang w:val="fr-FR"/>
              </w:rPr>
              <w:t>0,35</w:t>
            </w:r>
          </w:p>
        </w:tc>
      </w:tr>
      <w:tr w14:paraId="09E8FDD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286D495" w14:textId="77777777">
            <w:pPr>
              <w:pStyle w:val="Tab3FirstColNonGras"/>
              <w:rPr>
                <w:lang w:val="fr-FR"/>
              </w:rPr>
            </w:pPr>
            <w:r>
              <w:rPr>
                <w:lang w:val="fr-FR"/>
              </w:rPr>
              <w:t>KDDI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9962348"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FD4621E" w14:textId="77777777">
            <w:pPr>
              <w:pStyle w:val="Tab3MiddleColNonGras"/>
              <w:rPr>
                <w:lang w:val="fr-FR"/>
              </w:rPr>
            </w:pPr>
            <w:r>
              <w:rPr>
                <w:lang w:val="fr-FR"/>
              </w:rPr>
              <w:t>13 900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1C4CE06" w14:textId="77777777">
            <w:pPr>
              <w:pStyle w:val="Tab3MiddleColNonGras"/>
              <w:rPr>
                <w:lang w:val="fr-FR"/>
              </w:rPr>
            </w:pPr>
            <w:r>
              <w:rPr>
                <w:lang w:val="fr-FR"/>
              </w:rPr>
              <w:t>238 651,41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6208DB3" w14:textId="77777777">
            <w:pPr>
              <w:pStyle w:val="Tab3LastColNonGras"/>
              <w:rPr>
                <w:lang w:val="fr-FR"/>
              </w:rPr>
            </w:pPr>
            <w:r>
              <w:rPr>
                <w:lang w:val="fr-FR"/>
              </w:rPr>
              <w:t>0,07</w:t>
            </w:r>
          </w:p>
        </w:tc>
      </w:tr>
      <w:tr w14:paraId="0C9EEC3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A5F1DF0" w14:textId="77777777">
            <w:pPr>
              <w:pStyle w:val="Tab3FirstColNonGras"/>
              <w:rPr>
                <w:lang w:val="fr-FR"/>
              </w:rPr>
            </w:pPr>
            <w:r>
              <w:rPr>
                <w:lang w:val="fr-FR"/>
              </w:rPr>
              <w:t>ROGERS COMMUNICATIONS INC-B</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E0C4B31"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8AD69D1" w14:textId="77777777">
            <w:pPr>
              <w:pStyle w:val="Tab3MiddleColNonGras"/>
              <w:rPr>
                <w:lang w:val="fr-FR"/>
              </w:rPr>
            </w:pPr>
            <w:r>
              <w:rPr>
                <w:lang w:val="fr-FR"/>
              </w:rPr>
              <w:t>1 768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FC18105" w14:textId="77777777">
            <w:pPr>
              <w:pStyle w:val="Tab3MiddleColNonGras"/>
              <w:rPr>
                <w:lang w:val="fr-FR"/>
              </w:rPr>
            </w:pPr>
            <w:r>
              <w:rPr>
                <w:lang w:val="fr-FR"/>
              </w:rPr>
              <w:t>52 332,80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D7F6DAA" w14:textId="77777777">
            <w:pPr>
              <w:pStyle w:val="Tab3LastColNonGras"/>
              <w:rPr>
                <w:lang w:val="fr-FR"/>
              </w:rPr>
            </w:pPr>
            <w:r>
              <w:rPr>
                <w:lang w:val="fr-FR"/>
              </w:rPr>
              <w:t>0,02</w:t>
            </w:r>
          </w:p>
        </w:tc>
      </w:tr>
      <w:tr w14:paraId="65F01C7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7D91BE6" w14:textId="77777777">
            <w:pPr>
              <w:pStyle w:val="Tab3FirstColNonGras"/>
              <w:rPr>
                <w:lang w:val="fr-FR"/>
              </w:rPr>
            </w:pPr>
            <w:r>
              <w:rPr>
                <w:lang w:val="fr-FR"/>
              </w:rPr>
              <w:t>SBA COMMUNICATIONS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F10348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BBCD193" w14:textId="77777777">
            <w:pPr>
              <w:pStyle w:val="Tab3MiddleColNonGras"/>
              <w:rPr>
                <w:lang w:val="fr-FR"/>
              </w:rPr>
            </w:pPr>
            <w:r>
              <w:rPr>
                <w:lang w:val="fr-FR"/>
              </w:rPr>
              <w:t>1 283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5C0D1D6" w14:textId="77777777">
            <w:pPr>
              <w:pStyle w:val="Tab3MiddleColNonGras"/>
              <w:rPr>
                <w:lang w:val="fr-FR"/>
              </w:rPr>
            </w:pPr>
            <w:r>
              <w:rPr>
                <w:lang w:val="fr-FR"/>
              </w:rPr>
              <w:t>301 299,72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13EEBFE" w14:textId="77777777">
            <w:pPr>
              <w:pStyle w:val="Tab3LastColNonGras"/>
              <w:rPr>
                <w:lang w:val="fr-FR"/>
              </w:rPr>
            </w:pPr>
            <w:r>
              <w:rPr>
                <w:lang w:val="fr-FR"/>
              </w:rPr>
              <w:t>0,09</w:t>
            </w:r>
          </w:p>
        </w:tc>
      </w:tr>
      <w:tr w14:paraId="5D94177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7807C49" w14:textId="77777777">
            <w:pPr>
              <w:pStyle w:val="Tab3FirstColNonGras"/>
              <w:rPr>
                <w:lang w:val="fr-FR"/>
              </w:rPr>
            </w:pPr>
            <w:r>
              <w:rPr>
                <w:lang w:val="fr-FR"/>
              </w:rPr>
              <w:t>SOFTBANK GROUP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72CE246"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FF16487" w14:textId="77777777">
            <w:pPr>
              <w:pStyle w:val="Tab3MiddleColNonGras"/>
              <w:rPr>
                <w:lang w:val="fr-FR"/>
              </w:rPr>
            </w:pPr>
            <w:r>
              <w:rPr>
                <w:lang w:val="fr-FR"/>
              </w:rPr>
              <w:t>4 700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AAA8BB9" w14:textId="77777777">
            <w:pPr>
              <w:pStyle w:val="Tab3MiddleColNonGras"/>
              <w:rPr>
                <w:lang w:val="fr-FR"/>
              </w:rPr>
            </w:pPr>
            <w:r>
              <w:rPr>
                <w:lang w:val="fr-FR"/>
              </w:rPr>
              <w:t>342 140,63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BBF1BA3" w14:textId="77777777">
            <w:pPr>
              <w:pStyle w:val="Tab3LastColNonGras"/>
              <w:rPr>
                <w:lang w:val="fr-FR"/>
              </w:rPr>
            </w:pPr>
            <w:r>
              <w:rPr>
                <w:lang w:val="fr-FR"/>
              </w:rPr>
              <w:t>0,10</w:t>
            </w:r>
          </w:p>
        </w:tc>
      </w:tr>
      <w:tr w14:paraId="610A924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555864E" w14:textId="77777777">
            <w:pPr>
              <w:pStyle w:val="Tab3FirstColNonGras"/>
              <w:rPr>
                <w:lang w:val="fr-FR"/>
              </w:rPr>
            </w:pPr>
            <w:r>
              <w:rPr>
                <w:lang w:val="fr-FR"/>
              </w:rPr>
              <w:t>TELE2 AB-B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D0E0FCB"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F808DB9" w14:textId="77777777">
            <w:pPr>
              <w:pStyle w:val="Tab3MiddleColNonGras"/>
              <w:rPr>
                <w:lang w:val="fr-FR"/>
              </w:rPr>
            </w:pPr>
            <w:r>
              <w:rPr>
                <w:lang w:val="fr-FR"/>
              </w:rPr>
              <w:t>4 616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1C9EE24" w14:textId="77777777">
            <w:pPr>
              <w:pStyle w:val="Tab3MiddleColNonGras"/>
              <w:rPr>
                <w:lang w:val="fr-FR"/>
              </w:rPr>
            </w:pPr>
            <w:r>
              <w:rPr>
                <w:lang w:val="fr-FR"/>
              </w:rPr>
              <w:t>66 960,73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AC19F57" w14:textId="77777777">
            <w:pPr>
              <w:pStyle w:val="Tab3LastColNonGras"/>
              <w:rPr>
                <w:lang w:val="fr-FR"/>
              </w:rPr>
            </w:pPr>
            <w:r>
              <w:rPr>
                <w:lang w:val="fr-FR"/>
              </w:rPr>
              <w:t>0,02</w:t>
            </w:r>
          </w:p>
        </w:tc>
      </w:tr>
      <w:tr w14:paraId="37CC69B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D9AF7DF" w14:textId="77777777">
            <w:pPr>
              <w:pStyle w:val="Tab3FirstColNonGras"/>
              <w:rPr>
                <w:lang w:val="fr-FR"/>
              </w:rPr>
            </w:pPr>
            <w:r>
              <w:rPr>
                <w:lang w:val="fr-FR"/>
              </w:rPr>
              <w:t>VODAFONE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D2421CA"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E314549" w14:textId="77777777">
            <w:pPr>
              <w:pStyle w:val="Tab3MiddleColNonGras"/>
              <w:rPr>
                <w:lang w:val="fr-FR"/>
              </w:rPr>
            </w:pPr>
            <w:r>
              <w:rPr>
                <w:lang w:val="fr-FR"/>
              </w:rPr>
              <w:t>105 719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33BC195" w14:textId="77777777">
            <w:pPr>
              <w:pStyle w:val="Tab3MiddleColNonGras"/>
              <w:rPr>
                <w:lang w:val="fr-FR"/>
              </w:rPr>
            </w:pPr>
            <w:r>
              <w:rPr>
                <w:lang w:val="fr-FR"/>
              </w:rPr>
              <w:t>112 682,25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67E5696" w14:textId="77777777">
            <w:pPr>
              <w:pStyle w:val="Tab3LastColNonGras"/>
              <w:rPr>
                <w:lang w:val="fr-FR"/>
              </w:rPr>
            </w:pPr>
            <w:r>
              <w:rPr>
                <w:lang w:val="fr-FR"/>
              </w:rPr>
              <w:t>0,03</w:t>
            </w:r>
          </w:p>
        </w:tc>
      </w:tr>
      <w:tr w14:paraId="01EC8ED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8009EA5" w14:textId="77777777">
            <w:pPr>
              <w:pStyle w:val="Tab3FirstColNonGras"/>
              <w:rPr>
                <w:lang w:val="fr-FR"/>
              </w:rPr>
            </w:pPr>
            <w:r>
              <w:rPr>
                <w:lang w:val="fr-FR"/>
              </w:rPr>
              <w:t>WALT DISNEY CO/THE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AD301E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BFBB15C" w14:textId="77777777">
            <w:pPr>
              <w:pStyle w:val="Tab3MiddleColNonGras"/>
              <w:rPr>
                <w:lang w:val="fr-FR"/>
              </w:rPr>
            </w:pPr>
            <w:r>
              <w:rPr>
                <w:lang w:val="fr-FR"/>
              </w:rPr>
              <w:t>8 934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1CFFF18" w14:textId="77777777">
            <w:pPr>
              <w:pStyle w:val="Tab3MiddleColNonGras"/>
              <w:rPr>
                <w:lang w:val="fr-FR"/>
              </w:rPr>
            </w:pPr>
            <w:r>
              <w:rPr>
                <w:lang w:val="fr-FR"/>
              </w:rPr>
              <w:t>1 107 905,34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37A3269" w14:textId="77777777">
            <w:pPr>
              <w:pStyle w:val="Tab3LastColNonGras"/>
              <w:rPr>
                <w:lang w:val="fr-FR"/>
              </w:rPr>
            </w:pPr>
            <w:r>
              <w:rPr>
                <w:lang w:val="fr-FR"/>
              </w:rPr>
              <w:t>0,32</w:t>
            </w:r>
          </w:p>
        </w:tc>
      </w:tr>
      <w:tr w14:paraId="55381085"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6B304D0E" w14:textId="77777777">
            <w:pPr>
              <w:pStyle w:val="Tab1FirstColGras"/>
              <w:rPr>
                <w:lang w:val="fr-FR"/>
              </w:rPr>
            </w:pPr>
            <w:r>
              <w:rPr>
                <w:lang w:val="fr-FR"/>
              </w:rPr>
              <w:t>Services financiers diversifiés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3708FD7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6EF06D82"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18A605AC" w14:textId="77777777">
            <w:pPr>
              <w:pStyle w:val="Tab1MiddleColGras"/>
              <w:rPr>
                <w:lang w:val="fr-FR"/>
              </w:rPr>
            </w:pPr>
            <w:r>
              <w:rPr>
                <w:lang w:val="fr-FR"/>
              </w:rPr>
              <w:t>11 245 605,23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4344B43" w14:textId="77777777">
            <w:pPr>
              <w:pStyle w:val="Tab1LastColGras"/>
              <w:rPr>
                <w:lang w:val="fr-FR"/>
              </w:rPr>
            </w:pPr>
            <w:r>
              <w:rPr>
                <w:lang w:val="fr-FR"/>
              </w:rPr>
              <w:t>3,23</w:t>
            </w:r>
          </w:p>
        </w:tc>
      </w:tr>
      <w:tr w14:paraId="529AF14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2DEAD95" w14:textId="77777777">
            <w:pPr>
              <w:pStyle w:val="Tab3FirstColNonGras"/>
              <w:rPr>
                <w:lang w:val="fr-FR"/>
              </w:rPr>
            </w:pPr>
            <w:r>
              <w:rPr>
                <w:lang w:val="fr-FR"/>
              </w:rPr>
              <w:t>ADYEN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3B6233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D71D902" w14:textId="77777777">
            <w:pPr>
              <w:pStyle w:val="Tab3MiddleColNonGras"/>
              <w:rPr>
                <w:lang w:val="fr-FR"/>
              </w:rPr>
            </w:pPr>
            <w:r>
              <w:rPr>
                <w:lang w:val="fr-FR"/>
              </w:rPr>
              <w:t>125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39F0E60" w14:textId="77777777">
            <w:pPr>
              <w:pStyle w:val="Tab3MiddleColNonGras"/>
              <w:rPr>
                <w:lang w:val="fr-FR"/>
              </w:rPr>
            </w:pPr>
            <w:r>
              <w:rPr>
                <w:lang w:val="fr-FR"/>
              </w:rPr>
              <w:t>228 665,98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7F73AE3" w14:textId="77777777">
            <w:pPr>
              <w:pStyle w:val="Tab3LastColNonGras"/>
              <w:rPr>
                <w:lang w:val="fr-FR"/>
              </w:rPr>
            </w:pPr>
            <w:r>
              <w:rPr>
                <w:lang w:val="fr-FR"/>
              </w:rPr>
              <w:t>0,07</w:t>
            </w:r>
          </w:p>
        </w:tc>
      </w:tr>
      <w:tr w14:paraId="4F0E0BC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D271054" w14:textId="77777777">
            <w:pPr>
              <w:pStyle w:val="Tab3FirstColNonGras"/>
              <w:rPr>
                <w:lang w:val="fr-FR"/>
              </w:rPr>
            </w:pPr>
            <w:r>
              <w:rPr>
                <w:lang w:val="fr-FR"/>
              </w:rPr>
              <w:t>AMUNDI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EAA30B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21AEFC2" w14:textId="77777777">
            <w:pPr>
              <w:pStyle w:val="Tab3MiddleColNonGras"/>
              <w:rPr>
                <w:lang w:val="fr-FR"/>
              </w:rPr>
            </w:pPr>
            <w:r>
              <w:rPr>
                <w:lang w:val="fr-FR"/>
              </w:rPr>
              <w:t>153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E6CD040" w14:textId="77777777">
            <w:pPr>
              <w:pStyle w:val="Tab3MiddleColNonGras"/>
              <w:rPr>
                <w:lang w:val="fr-FR"/>
              </w:rPr>
            </w:pPr>
            <w:r>
              <w:rPr>
                <w:lang w:val="fr-FR"/>
              </w:rPr>
              <w:t>12 338,45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F7DFADE" w14:textId="77777777">
            <w:pPr>
              <w:pStyle w:val="Tab3LastColNonGras"/>
              <w:rPr>
                <w:lang w:val="fr-FR"/>
              </w:rPr>
            </w:pPr>
            <w:r>
              <w:rPr>
                <w:lang w:val="fr-FR"/>
              </w:rPr>
              <w:t>0,00</w:t>
            </w:r>
          </w:p>
        </w:tc>
      </w:tr>
      <w:tr w14:paraId="0E6D8F9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8E60E15" w14:textId="77777777">
            <w:pPr>
              <w:pStyle w:val="Tab3FirstColNonGras"/>
              <w:rPr>
                <w:lang w:val="fr-FR"/>
              </w:rPr>
            </w:pPr>
            <w:r>
              <w:rPr>
                <w:lang w:val="fr-FR"/>
              </w:rPr>
              <w:t>APOLLO GLOBAL MANAGEMENT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CB7181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72409BC" w14:textId="77777777">
            <w:pPr>
              <w:pStyle w:val="Tab3MiddleColNonGras"/>
              <w:rPr>
                <w:lang w:val="fr-FR"/>
              </w:rPr>
            </w:pPr>
            <w:r>
              <w:rPr>
                <w:lang w:val="fr-FR"/>
              </w:rPr>
              <w:t>1 938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C967A44" w14:textId="77777777">
            <w:pPr>
              <w:pStyle w:val="Tab3MiddleColNonGras"/>
              <w:rPr>
                <w:lang w:val="fr-FR"/>
              </w:rPr>
            </w:pPr>
            <w:r>
              <w:rPr>
                <w:lang w:val="fr-FR"/>
              </w:rPr>
              <w:t>274 944,06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3DD5E0A" w14:textId="77777777">
            <w:pPr>
              <w:pStyle w:val="Tab3LastColNonGras"/>
              <w:rPr>
                <w:lang w:val="fr-FR"/>
              </w:rPr>
            </w:pPr>
            <w:r>
              <w:rPr>
                <w:lang w:val="fr-FR"/>
              </w:rPr>
              <w:t>0,08</w:t>
            </w:r>
          </w:p>
        </w:tc>
      </w:tr>
      <w:tr w14:paraId="212DB21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C2A1AFA" w14:textId="77777777">
            <w:pPr>
              <w:pStyle w:val="Tab3FirstColNonGras"/>
              <w:rPr>
                <w:lang w:val="fr-FR"/>
              </w:rPr>
            </w:pPr>
            <w:r>
              <w:rPr>
                <w:lang w:val="fr-FR"/>
              </w:rPr>
              <w:t>CME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659A61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8467058" w14:textId="77777777">
            <w:pPr>
              <w:pStyle w:val="Tab3MiddleColNonGras"/>
              <w:rPr>
                <w:lang w:val="fr-FR"/>
              </w:rPr>
            </w:pPr>
            <w:r>
              <w:rPr>
                <w:lang w:val="fr-FR"/>
              </w:rPr>
              <w:t>1 850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150903A" w14:textId="77777777">
            <w:pPr>
              <w:pStyle w:val="Tab3MiddleColNonGras"/>
              <w:rPr>
                <w:lang w:val="fr-FR"/>
              </w:rPr>
            </w:pPr>
            <w:r>
              <w:rPr>
                <w:lang w:val="fr-FR"/>
              </w:rPr>
              <w:t>509 897,00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AB9B3A5" w14:textId="77777777">
            <w:pPr>
              <w:pStyle w:val="Tab3LastColNonGras"/>
              <w:rPr>
                <w:lang w:val="fr-FR"/>
              </w:rPr>
            </w:pPr>
            <w:r>
              <w:rPr>
                <w:lang w:val="fr-FR"/>
              </w:rPr>
              <w:t>0,15</w:t>
            </w:r>
          </w:p>
        </w:tc>
      </w:tr>
      <w:tr w14:paraId="472715D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115B41B" w14:textId="77777777">
            <w:pPr>
              <w:pStyle w:val="Tab3FirstColNonGras"/>
              <w:rPr>
                <w:lang w:val="fr-FR"/>
              </w:rPr>
            </w:pPr>
            <w:r>
              <w:rPr>
                <w:lang w:val="fr-FR"/>
              </w:rPr>
              <w:t>CORPAY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8AB5FE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18AF092" w14:textId="77777777">
            <w:pPr>
              <w:pStyle w:val="Tab3MiddleColNonGras"/>
              <w:rPr>
                <w:lang w:val="fr-FR"/>
              </w:rPr>
            </w:pPr>
            <w:r>
              <w:rPr>
                <w:lang w:val="fr-FR"/>
              </w:rPr>
              <w:t>364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A3BC7BD" w14:textId="77777777">
            <w:pPr>
              <w:pStyle w:val="Tab3MiddleColNonGras"/>
              <w:rPr>
                <w:lang w:val="fr-FR"/>
              </w:rPr>
            </w:pPr>
            <w:r>
              <w:rPr>
                <w:lang w:val="fr-FR"/>
              </w:rPr>
              <w:t>120 782,48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26A6811" w14:textId="77777777">
            <w:pPr>
              <w:pStyle w:val="Tab3LastColNonGras"/>
              <w:rPr>
                <w:lang w:val="fr-FR"/>
              </w:rPr>
            </w:pPr>
            <w:r>
              <w:rPr>
                <w:lang w:val="fr-FR"/>
              </w:rPr>
              <w:t>0,03</w:t>
            </w:r>
          </w:p>
        </w:tc>
      </w:tr>
      <w:tr w14:paraId="33D19B2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17CAAE6" w14:textId="77777777">
            <w:pPr>
              <w:pStyle w:val="Tab3FirstColNonGras"/>
              <w:rPr>
                <w:lang w:val="fr-FR"/>
              </w:rPr>
            </w:pPr>
            <w:r>
              <w:rPr>
                <w:lang w:val="fr-FR"/>
              </w:rPr>
              <w:t>DEUTSCHE BOERSE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6B51E5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D59887B" w14:textId="77777777">
            <w:pPr>
              <w:pStyle w:val="Tab3MiddleColNonGras"/>
              <w:rPr>
                <w:lang w:val="fr-FR"/>
              </w:rPr>
            </w:pPr>
            <w:r>
              <w:rPr>
                <w:lang w:val="fr-FR"/>
              </w:rPr>
              <w:t>998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ED5BC35" w14:textId="77777777">
            <w:pPr>
              <w:pStyle w:val="Tab3MiddleColNonGras"/>
              <w:rPr>
                <w:lang w:val="fr-FR"/>
              </w:rPr>
            </w:pPr>
            <w:r>
              <w:rPr>
                <w:lang w:val="fr-FR"/>
              </w:rPr>
              <w:t>324 388,99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8A2422D" w14:textId="77777777">
            <w:pPr>
              <w:pStyle w:val="Tab3LastColNonGras"/>
              <w:rPr>
                <w:lang w:val="fr-FR"/>
              </w:rPr>
            </w:pPr>
            <w:r>
              <w:rPr>
                <w:lang w:val="fr-FR"/>
              </w:rPr>
              <w:t>0,09</w:t>
            </w:r>
          </w:p>
        </w:tc>
      </w:tr>
      <w:tr w14:paraId="66BB617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B3AFD98" w14:textId="77777777">
            <w:pPr>
              <w:pStyle w:val="Tab3FirstColNonGras"/>
              <w:rPr>
                <w:lang w:val="fr-FR"/>
              </w:rPr>
            </w:pPr>
            <w:r>
              <w:rPr>
                <w:lang w:val="fr-FR"/>
              </w:rPr>
              <w:t>EURAZEO-PF- 2027</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11F677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CD02EDE" w14:textId="77777777">
            <w:pPr>
              <w:pStyle w:val="Tab3MiddleColNonGras"/>
              <w:rPr>
                <w:lang w:val="fr-FR"/>
              </w:rPr>
            </w:pPr>
            <w:r>
              <w:rPr>
                <w:lang w:val="fr-FR"/>
              </w:rPr>
              <w:t>338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9A2EC2A" w14:textId="77777777">
            <w:pPr>
              <w:pStyle w:val="Tab3MiddleColNonGras"/>
              <w:rPr>
                <w:lang w:val="fr-FR"/>
              </w:rPr>
            </w:pPr>
            <w:r>
              <w:rPr>
                <w:lang w:val="fr-FR"/>
              </w:rPr>
              <w:t>24 023,90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A4AE837" w14:textId="77777777">
            <w:pPr>
              <w:pStyle w:val="Tab3LastColNonGras"/>
              <w:rPr>
                <w:lang w:val="fr-FR"/>
              </w:rPr>
            </w:pPr>
            <w:r>
              <w:rPr>
                <w:lang w:val="fr-FR"/>
              </w:rPr>
              <w:t>0,01</w:t>
            </w:r>
          </w:p>
        </w:tc>
      </w:tr>
      <w:tr w14:paraId="25DC872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D970A1E" w14:textId="77777777">
            <w:pPr>
              <w:pStyle w:val="Tab3FirstColNonGras"/>
              <w:rPr>
                <w:lang w:val="fr-FR"/>
              </w:rPr>
            </w:pPr>
            <w:r>
              <w:rPr>
                <w:lang w:val="fr-FR"/>
              </w:rPr>
              <w:t>EURONEXT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66BEC59"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5570F29" w14:textId="77777777">
            <w:pPr>
              <w:pStyle w:val="Tab3MiddleColNonGras"/>
              <w:rPr>
                <w:lang w:val="fr-FR"/>
              </w:rPr>
            </w:pPr>
            <w:r>
              <w:rPr>
                <w:lang w:val="fr-FR"/>
              </w:rPr>
              <w:t>601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7ED8944" w14:textId="77777777">
            <w:pPr>
              <w:pStyle w:val="Tab3MiddleColNonGras"/>
              <w:rPr>
                <w:lang w:val="fr-FR"/>
              </w:rPr>
            </w:pPr>
            <w:r>
              <w:rPr>
                <w:lang w:val="fr-FR"/>
              </w:rPr>
              <w:t>102 365,71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EB7A25C" w14:textId="77777777">
            <w:pPr>
              <w:pStyle w:val="Tab3LastColNonGras"/>
              <w:rPr>
                <w:lang w:val="fr-FR"/>
              </w:rPr>
            </w:pPr>
            <w:r>
              <w:rPr>
                <w:lang w:val="fr-FR"/>
              </w:rPr>
              <w:t>0,03</w:t>
            </w:r>
          </w:p>
        </w:tc>
      </w:tr>
      <w:tr w14:paraId="72A6A80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839B3F2" w14:textId="77777777">
            <w:pPr>
              <w:pStyle w:val="Tab3FirstColNonGras"/>
              <w:rPr>
                <w:lang w:val="fr-FR"/>
              </w:rPr>
            </w:pPr>
            <w:r>
              <w:rPr>
                <w:lang w:val="fr-FR"/>
              </w:rPr>
              <w:t>EXOR NV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8B8F70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AEA60AC" w14:textId="77777777">
            <w:pPr>
              <w:pStyle w:val="Tab3MiddleColNonGras"/>
              <w:rPr>
                <w:lang w:val="fr-FR"/>
              </w:rPr>
            </w:pPr>
            <w:r>
              <w:rPr>
                <w:lang w:val="fr-FR"/>
              </w:rPr>
              <w:t>717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C8B941B" w14:textId="77777777">
            <w:pPr>
              <w:pStyle w:val="Tab3MiddleColNonGras"/>
              <w:rPr>
                <w:lang w:val="fr-FR"/>
              </w:rPr>
            </w:pPr>
            <w:r>
              <w:rPr>
                <w:lang w:val="fr-FR"/>
              </w:rPr>
              <w:t>72 045,28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1BD9FC2" w14:textId="77777777">
            <w:pPr>
              <w:pStyle w:val="Tab3LastColNonGras"/>
              <w:rPr>
                <w:lang w:val="fr-FR"/>
              </w:rPr>
            </w:pPr>
            <w:r>
              <w:rPr>
                <w:lang w:val="fr-FR"/>
              </w:rPr>
              <w:t>0,02</w:t>
            </w:r>
          </w:p>
        </w:tc>
      </w:tr>
    </w:tbl>
    <w:p w:rsidR="001F4AEE" w14:paraId="7E89B4A4" w14:textId="77777777">
      <w:pPr>
        <w:sectPr>
          <w:headerReference w:type="default" r:id="rId56"/>
          <w:footerReference w:type="default" r:id="rId57"/>
          <w:pgSz w:w="11900" w:h="16840"/>
          <w:pgMar w:top="2154" w:right="1134" w:bottom="1134" w:left="1134" w:header="400" w:footer="400" w:gutter="0"/>
          <w:cols w:space="720"/>
        </w:sectPr>
      </w:pPr>
    </w:p>
    <w:p w:rsidR="001F4AEE" w14:paraId="03E3E128" w14:textId="77777777">
      <w:pPr>
        <w:spacing w:line="30" w:lineRule="exact"/>
        <w:rPr>
          <w:sz w:val="3"/>
        </w:rPr>
      </w:pPr>
    </w:p>
    <w:p w:rsidR="001F4AEE" w14:paraId="58416C75" w14:textId="77777777">
      <w:pPr>
        <w:pStyle w:val="TechnicalBookmark"/>
        <w:rPr>
          <w:lang w:val="fr-FR"/>
        </w:rPr>
      </w:pPr>
      <w:r>
        <w:rPr>
          <w:lang w:val="fr-FR"/>
        </w:rPr>
        <w:fldChar w:fldCharType="begin"/>
      </w:r>
      <w:r>
        <w:rPr>
          <w:lang w:val="fr-FR"/>
        </w:rPr>
        <w:instrText xml:space="preserve"> SET 1C48FA04AC8BD69B4036CCBB478A4496 "" </w:instrText>
      </w:r>
      <w:r>
        <w:rPr>
          <w:lang w:val="fr-FR"/>
        </w:rPr>
        <w:fldChar w:fldCharType="separate"/>
      </w:r>
      <w:bookmarkStart w:id="112" w:name="1C48FA04AC8BD69B4036CCBB478A4496"/>
      <w:bookmarkEnd w:id="112"/>
      <w:r>
        <w:rPr>
          <w:lang w:val="fr-FR"/>
        </w:rPr>
        <w:fldChar w:fldCharType="end"/>
      </w:r>
    </w:p>
    <w:p w:rsidR="001F4AEE" w14:paraId="60EAB5CB" w14:textId="77777777">
      <w:pPr>
        <w:pStyle w:val="H2"/>
        <w:rPr>
          <w:lang w:val="fr-FR"/>
        </w:rPr>
      </w:pPr>
      <w:r>
        <w:rPr>
          <w:lang w:val="fr-FR"/>
        </w:rPr>
        <w:t xml:space="preserve">Inventaire des éléments de bilan </w:t>
      </w:r>
    </w:p>
    <w:p w:rsidR="001F4AEE" w14:paraId="274D1F2A" w14:textId="77777777">
      <w:pPr>
        <w:pStyle w:val="NoRefToc"/>
        <w:rPr>
          <w:lang w:val="fr-FR"/>
        </w:rPr>
      </w:pPr>
    </w:p>
    <w:p w:rsidR="001F4AEE" w14:paraId="54B14FBF" w14:textId="77777777">
      <w:pPr>
        <w:pStyle w:val="TechnicalBookmark"/>
        <w:rPr>
          <w:lang w:val="fr-FR"/>
        </w:rPr>
      </w:pPr>
      <w:r>
        <w:rPr>
          <w:lang w:val="fr-FR"/>
        </w:rPr>
        <w:fldChar w:fldCharType="begin"/>
      </w:r>
      <w:r>
        <w:rPr>
          <w:lang w:val="fr-FR"/>
        </w:rPr>
        <w:instrText xml:space="preserve"> SET 7547CC8CF808D9F6B5006710D4FEB925 "" </w:instrText>
      </w:r>
      <w:r>
        <w:rPr>
          <w:lang w:val="fr-FR"/>
        </w:rPr>
        <w:fldChar w:fldCharType="separate"/>
      </w:r>
      <w:bookmarkStart w:id="113" w:name="7547CC8CF808D9F6B5006710D4FEB925"/>
      <w:bookmarkEnd w:id="113"/>
      <w:r>
        <w:rPr>
          <w:lang w:val="fr-FR"/>
        </w:rPr>
        <w:fldChar w:fldCharType="end"/>
      </w:r>
    </w:p>
    <w:p w:rsidR="001F4AEE" w14:paraId="314D22C9"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3DBBAD48"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773C4F09"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FB0FA30"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237AEF43" w14:textId="77777777">
            <w:pPr>
              <w:pStyle w:val="EnteteTabMiddleColBordure"/>
              <w:spacing w:line="184" w:lineRule="exact"/>
              <w:rPr>
                <w:lang w:val="fr-FR"/>
              </w:rPr>
            </w:pPr>
            <w:r>
              <w:rPr>
                <w:lang w:val="fr-FR"/>
              </w:rPr>
              <w:t>Quantité ou</w:t>
            </w:r>
          </w:p>
          <w:p w:rsidR="001F4AEE" w14:paraId="3E399F6D"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43A5FA61"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518336A6" w14:textId="77777777">
            <w:pPr>
              <w:pStyle w:val="EnteteTabLastColBordure"/>
              <w:spacing w:line="184" w:lineRule="exact"/>
              <w:rPr>
                <w:lang w:val="fr-FR"/>
              </w:rPr>
            </w:pPr>
            <w:r>
              <w:rPr>
                <w:lang w:val="fr-FR"/>
              </w:rPr>
              <w:t>% Actif</w:t>
            </w:r>
          </w:p>
          <w:p w:rsidR="001F4AEE" w14:paraId="31D46F39" w14:textId="77777777">
            <w:pPr>
              <w:pStyle w:val="EnteteTabLastColBordure"/>
              <w:spacing w:line="184" w:lineRule="exact"/>
              <w:rPr>
                <w:lang w:val="fr-FR"/>
              </w:rPr>
            </w:pPr>
            <w:r>
              <w:rPr>
                <w:lang w:val="fr-FR"/>
              </w:rPr>
              <w:t>Net</w:t>
            </w:r>
          </w:p>
        </w:tc>
      </w:tr>
      <w:tr w14:paraId="45EADFC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3F3793F" w14:textId="77777777">
            <w:pPr>
              <w:pStyle w:val="Tab3FirstColNonGras"/>
              <w:rPr>
                <w:lang w:val="fr-FR"/>
              </w:rPr>
            </w:pPr>
            <w:r>
              <w:rPr>
                <w:lang w:val="fr-FR"/>
              </w:rPr>
              <w:t>FERROVIAL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E7F5AC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6CA458E" w14:textId="77777777">
            <w:pPr>
              <w:pStyle w:val="Tab3MiddleColNonGras"/>
              <w:rPr>
                <w:lang w:val="fr-FR"/>
              </w:rPr>
            </w:pPr>
            <w:r>
              <w:rPr>
                <w:lang w:val="fr-FR"/>
              </w:rPr>
              <w:t>6 869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8DB3A71" w14:textId="77777777">
            <w:pPr>
              <w:pStyle w:val="Tab3MiddleColNonGras"/>
              <w:rPr>
                <w:lang w:val="fr-FR"/>
              </w:rPr>
            </w:pPr>
            <w:r>
              <w:rPr>
                <w:lang w:val="fr-FR"/>
              </w:rPr>
              <w:t>364 939,33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D5DE36E" w14:textId="77777777">
            <w:pPr>
              <w:pStyle w:val="Tab3LastColNonGras"/>
              <w:rPr>
                <w:lang w:val="fr-FR"/>
              </w:rPr>
            </w:pPr>
            <w:r>
              <w:rPr>
                <w:lang w:val="fr-FR"/>
              </w:rPr>
              <w:t>0,10</w:t>
            </w:r>
          </w:p>
        </w:tc>
      </w:tr>
      <w:tr w14:paraId="2C2A7F6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E96E56C" w14:textId="77777777">
            <w:pPr>
              <w:pStyle w:val="Tab3FirstColNonGras"/>
              <w:rPr>
                <w:lang w:val="fr-FR"/>
              </w:rPr>
            </w:pPr>
            <w:r>
              <w:rPr>
                <w:lang w:val="fr-FR"/>
              </w:rPr>
              <w:t>FIDELITY NATIONAL FINANCIAL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DEC592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F25A6E7" w14:textId="77777777">
            <w:pPr>
              <w:pStyle w:val="Tab3MiddleColNonGras"/>
              <w:rPr>
                <w:lang w:val="fr-FR"/>
              </w:rPr>
            </w:pPr>
            <w:r>
              <w:rPr>
                <w:lang w:val="fr-FR"/>
              </w:rPr>
              <w:t>1 892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280D56A" w14:textId="77777777">
            <w:pPr>
              <w:pStyle w:val="Tab3MiddleColNonGras"/>
              <w:rPr>
                <w:lang w:val="fr-FR"/>
              </w:rPr>
            </w:pPr>
            <w:r>
              <w:rPr>
                <w:lang w:val="fr-FR"/>
              </w:rPr>
              <w:t>106 065,52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3883A1E" w14:textId="77777777">
            <w:pPr>
              <w:pStyle w:val="Tab3LastColNonGras"/>
              <w:rPr>
                <w:lang w:val="fr-FR"/>
              </w:rPr>
            </w:pPr>
            <w:r>
              <w:rPr>
                <w:lang w:val="fr-FR"/>
              </w:rPr>
              <w:t>0,03</w:t>
            </w:r>
          </w:p>
        </w:tc>
      </w:tr>
      <w:tr w14:paraId="388D7F8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56702A3" w14:textId="77777777">
            <w:pPr>
              <w:pStyle w:val="Tab3FirstColNonGras"/>
              <w:rPr>
                <w:lang w:val="fr-FR"/>
              </w:rPr>
            </w:pPr>
            <w:r>
              <w:rPr>
                <w:lang w:val="fr-FR"/>
              </w:rPr>
              <w:t>FIDELITY NATIONAL INFO SERV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BDD0E1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A727155" w14:textId="77777777">
            <w:pPr>
              <w:pStyle w:val="Tab3MiddleColNonGras"/>
              <w:rPr>
                <w:lang w:val="fr-FR"/>
              </w:rPr>
            </w:pPr>
            <w:r>
              <w:rPr>
                <w:lang w:val="fr-FR"/>
              </w:rPr>
              <w:t>2 688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3728FB6" w14:textId="77777777">
            <w:pPr>
              <w:pStyle w:val="Tab3MiddleColNonGras"/>
              <w:rPr>
                <w:lang w:val="fr-FR"/>
              </w:rPr>
            </w:pPr>
            <w:r>
              <w:rPr>
                <w:lang w:val="fr-FR"/>
              </w:rPr>
              <w:t>218 830,08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D001E0B" w14:textId="77777777">
            <w:pPr>
              <w:pStyle w:val="Tab3LastColNonGras"/>
              <w:rPr>
                <w:lang w:val="fr-FR"/>
              </w:rPr>
            </w:pPr>
            <w:r>
              <w:rPr>
                <w:lang w:val="fr-FR"/>
              </w:rPr>
              <w:t>0,06</w:t>
            </w:r>
          </w:p>
        </w:tc>
      </w:tr>
      <w:tr w14:paraId="7E27D4E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7628835" w14:textId="77777777">
            <w:pPr>
              <w:pStyle w:val="Tab3FirstColNonGras"/>
              <w:rPr>
                <w:lang w:val="fr-FR"/>
              </w:rPr>
            </w:pPr>
            <w:r>
              <w:rPr>
                <w:lang w:val="fr-FR"/>
              </w:rPr>
              <w:t>FISERV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A10202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7ADB21D" w14:textId="77777777">
            <w:pPr>
              <w:pStyle w:val="Tab3MiddleColNonGras"/>
              <w:rPr>
                <w:lang w:val="fr-FR"/>
              </w:rPr>
            </w:pPr>
            <w:r>
              <w:rPr>
                <w:lang w:val="fr-FR"/>
              </w:rPr>
              <w:t>2 839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D96BC61" w14:textId="77777777">
            <w:pPr>
              <w:pStyle w:val="Tab3MiddleColNonGras"/>
              <w:rPr>
                <w:lang w:val="fr-FR"/>
              </w:rPr>
            </w:pPr>
            <w:r>
              <w:rPr>
                <w:lang w:val="fr-FR"/>
              </w:rPr>
              <w:t>489 471,99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AC5B7C5" w14:textId="77777777">
            <w:pPr>
              <w:pStyle w:val="Tab3LastColNonGras"/>
              <w:rPr>
                <w:lang w:val="fr-FR"/>
              </w:rPr>
            </w:pPr>
            <w:r>
              <w:rPr>
                <w:lang w:val="fr-FR"/>
              </w:rPr>
              <w:t>0,14</w:t>
            </w:r>
          </w:p>
        </w:tc>
      </w:tr>
      <w:tr w14:paraId="24E9E8A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920C2E5" w14:textId="77777777">
            <w:pPr>
              <w:pStyle w:val="Tab3FirstColNonGras"/>
              <w:rPr>
                <w:lang w:val="fr-FR"/>
              </w:rPr>
            </w:pPr>
            <w:r>
              <w:rPr>
                <w:lang w:val="fr-FR"/>
              </w:rPr>
              <w:t>GBL GROUPE BRUXELLES LAMBERT 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8E19E9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28DC0B3" w14:textId="77777777">
            <w:pPr>
              <w:pStyle w:val="Tab3MiddleColNonGras"/>
              <w:rPr>
                <w:lang w:val="fr-FR"/>
              </w:rPr>
            </w:pPr>
            <w:r>
              <w:rPr>
                <w:lang w:val="fr-FR"/>
              </w:rPr>
              <w:t>526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326758E" w14:textId="77777777">
            <w:pPr>
              <w:pStyle w:val="Tab3MiddleColNonGras"/>
              <w:rPr>
                <w:lang w:val="fr-FR"/>
              </w:rPr>
            </w:pPr>
            <w:r>
              <w:rPr>
                <w:lang w:val="fr-FR"/>
              </w:rPr>
              <w:t>44 641,28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578C352" w14:textId="77777777">
            <w:pPr>
              <w:pStyle w:val="Tab3LastColNonGras"/>
              <w:rPr>
                <w:lang w:val="fr-FR"/>
              </w:rPr>
            </w:pPr>
            <w:r>
              <w:rPr>
                <w:lang w:val="fr-FR"/>
              </w:rPr>
              <w:t>0,01</w:t>
            </w:r>
          </w:p>
        </w:tc>
      </w:tr>
      <w:tr w14:paraId="00802D0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C8EE333" w14:textId="77777777">
            <w:pPr>
              <w:pStyle w:val="Tab3FirstColNonGras"/>
              <w:rPr>
                <w:lang w:val="fr-FR"/>
              </w:rPr>
            </w:pPr>
            <w:r>
              <w:rPr>
                <w:lang w:val="fr-FR"/>
              </w:rPr>
              <w:t>GLOBAL PAYMENTS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0AEEC8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1B4B814" w14:textId="77777777">
            <w:pPr>
              <w:pStyle w:val="Tab3MiddleColNonGras"/>
              <w:rPr>
                <w:lang w:val="fr-FR"/>
              </w:rPr>
            </w:pPr>
            <w:r>
              <w:rPr>
                <w:lang w:val="fr-FR"/>
              </w:rPr>
              <w:t>1 020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D06CA94" w14:textId="77777777">
            <w:pPr>
              <w:pStyle w:val="Tab3MiddleColNonGras"/>
              <w:rPr>
                <w:lang w:val="fr-FR"/>
              </w:rPr>
            </w:pPr>
            <w:r>
              <w:rPr>
                <w:lang w:val="fr-FR"/>
              </w:rPr>
              <w:t>81 640,80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8967E83" w14:textId="77777777">
            <w:pPr>
              <w:pStyle w:val="Tab3LastColNonGras"/>
              <w:rPr>
                <w:lang w:val="fr-FR"/>
              </w:rPr>
            </w:pPr>
            <w:r>
              <w:rPr>
                <w:lang w:val="fr-FR"/>
              </w:rPr>
              <w:t>0,02</w:t>
            </w:r>
          </w:p>
        </w:tc>
      </w:tr>
      <w:tr w14:paraId="4638910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04D0DCF" w14:textId="77777777">
            <w:pPr>
              <w:pStyle w:val="Tab3FirstColNonGras"/>
              <w:rPr>
                <w:lang w:val="fr-FR"/>
              </w:rPr>
            </w:pPr>
            <w:r>
              <w:rPr>
                <w:lang w:val="fr-FR"/>
              </w:rPr>
              <w:t>INDUSTRIVARDEN AB-A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7179FFC"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0614710" w14:textId="77777777">
            <w:pPr>
              <w:pStyle w:val="Tab3MiddleColNonGras"/>
              <w:rPr>
                <w:lang w:val="fr-FR"/>
              </w:rPr>
            </w:pPr>
            <w:r>
              <w:rPr>
                <w:lang w:val="fr-FR"/>
              </w:rPr>
              <w:t>474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EEFF359" w14:textId="77777777">
            <w:pPr>
              <w:pStyle w:val="Tab3MiddleColNonGras"/>
              <w:rPr>
                <w:lang w:val="fr-FR"/>
              </w:rPr>
            </w:pPr>
            <w:r>
              <w:rPr>
                <w:lang w:val="fr-FR"/>
              </w:rPr>
              <w:t>17 069,27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657828F" w14:textId="77777777">
            <w:pPr>
              <w:pStyle w:val="Tab3LastColNonGras"/>
              <w:rPr>
                <w:lang w:val="fr-FR"/>
              </w:rPr>
            </w:pPr>
            <w:r>
              <w:rPr>
                <w:lang w:val="fr-FR"/>
              </w:rPr>
              <w:t>0,00</w:t>
            </w:r>
          </w:p>
        </w:tc>
      </w:tr>
      <w:tr w14:paraId="2EA330C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31F79CE" w14:textId="77777777">
            <w:pPr>
              <w:pStyle w:val="Tab3FirstColNonGras"/>
              <w:rPr>
                <w:lang w:val="fr-FR"/>
              </w:rPr>
            </w:pPr>
            <w:r>
              <w:rPr>
                <w:lang w:val="fr-FR"/>
              </w:rPr>
              <w:t>INDUSTRIVARDEN AB-C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9908E47"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9AF2DB5" w14:textId="77777777">
            <w:pPr>
              <w:pStyle w:val="Tab3MiddleColNonGras"/>
              <w:rPr>
                <w:lang w:val="fr-FR"/>
              </w:rPr>
            </w:pPr>
            <w:r>
              <w:rPr>
                <w:lang w:val="fr-FR"/>
              </w:rPr>
              <w:t>1 199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0796986" w14:textId="77777777">
            <w:pPr>
              <w:pStyle w:val="Tab3MiddleColNonGras"/>
              <w:rPr>
                <w:lang w:val="fr-FR"/>
              </w:rPr>
            </w:pPr>
            <w:r>
              <w:rPr>
                <w:lang w:val="fr-FR"/>
              </w:rPr>
              <w:t>42 988,61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CD1FB51" w14:textId="77777777">
            <w:pPr>
              <w:pStyle w:val="Tab3LastColNonGras"/>
              <w:rPr>
                <w:lang w:val="fr-FR"/>
              </w:rPr>
            </w:pPr>
            <w:r>
              <w:rPr>
                <w:lang w:val="fr-FR"/>
              </w:rPr>
              <w:t>0,01</w:t>
            </w:r>
          </w:p>
        </w:tc>
      </w:tr>
      <w:tr w14:paraId="1B08A0E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45928214" w14:textId="77777777">
            <w:pPr>
              <w:pStyle w:val="Tab3FirstColNonGras"/>
              <w:rPr>
                <w:lang w:val="en-US"/>
              </w:rPr>
            </w:pPr>
            <w:r w:rsidRPr="00D61EB0">
              <w:rPr>
                <w:lang w:val="en-US"/>
              </w:rPr>
              <w:t>INTERACTIVE BROKERS GRO-CL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0951FE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3F64E5E" w14:textId="77777777">
            <w:pPr>
              <w:pStyle w:val="Tab3MiddleColNonGras"/>
              <w:rPr>
                <w:lang w:val="fr-FR"/>
              </w:rPr>
            </w:pPr>
            <w:r>
              <w:rPr>
                <w:lang w:val="fr-FR"/>
              </w:rPr>
              <w:t>2 148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B293760" w14:textId="77777777">
            <w:pPr>
              <w:pStyle w:val="Tab3MiddleColNonGras"/>
              <w:rPr>
                <w:lang w:val="fr-FR"/>
              </w:rPr>
            </w:pPr>
            <w:r>
              <w:rPr>
                <w:lang w:val="fr-FR"/>
              </w:rPr>
              <w:t>119 020,68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73E45CD" w14:textId="77777777">
            <w:pPr>
              <w:pStyle w:val="Tab3LastColNonGras"/>
              <w:rPr>
                <w:lang w:val="fr-FR"/>
              </w:rPr>
            </w:pPr>
            <w:r>
              <w:rPr>
                <w:lang w:val="fr-FR"/>
              </w:rPr>
              <w:t>0,03</w:t>
            </w:r>
          </w:p>
        </w:tc>
      </w:tr>
      <w:tr w14:paraId="0A53F61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51209E0" w14:textId="77777777">
            <w:pPr>
              <w:pStyle w:val="Tab3FirstColNonGras"/>
              <w:rPr>
                <w:lang w:val="fr-FR"/>
              </w:rPr>
            </w:pPr>
            <w:r>
              <w:rPr>
                <w:lang w:val="fr-FR"/>
              </w:rPr>
              <w:t>INTERCONTINENTAL EXCHANGE IN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0119A3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E54E5AD" w14:textId="77777777">
            <w:pPr>
              <w:pStyle w:val="Tab3MiddleColNonGras"/>
              <w:rPr>
                <w:lang w:val="fr-FR"/>
              </w:rPr>
            </w:pPr>
            <w:r>
              <w:rPr>
                <w:lang w:val="fr-FR"/>
              </w:rPr>
              <w:t>2 936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9FBE733" w14:textId="77777777">
            <w:pPr>
              <w:pStyle w:val="Tab3MiddleColNonGras"/>
              <w:rPr>
                <w:lang w:val="fr-FR"/>
              </w:rPr>
            </w:pPr>
            <w:r>
              <w:rPr>
                <w:lang w:val="fr-FR"/>
              </w:rPr>
              <w:t>538 667,92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FE1890F" w14:textId="77777777">
            <w:pPr>
              <w:pStyle w:val="Tab3LastColNonGras"/>
              <w:rPr>
                <w:lang w:val="fr-FR"/>
              </w:rPr>
            </w:pPr>
            <w:r>
              <w:rPr>
                <w:lang w:val="fr-FR"/>
              </w:rPr>
              <w:t>0,15</w:t>
            </w:r>
          </w:p>
        </w:tc>
      </w:tr>
      <w:tr w14:paraId="733ED17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215A581" w14:textId="77777777">
            <w:pPr>
              <w:pStyle w:val="Tab3FirstColNonGras"/>
              <w:rPr>
                <w:lang w:val="fr-FR"/>
              </w:rPr>
            </w:pPr>
            <w:r>
              <w:rPr>
                <w:lang w:val="fr-FR"/>
              </w:rPr>
              <w:t>INVESTMENT AB LATOUR-B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37B2014"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58A6D6A" w14:textId="77777777">
            <w:pPr>
              <w:pStyle w:val="Tab3MiddleColNonGras"/>
              <w:rPr>
                <w:lang w:val="fr-FR"/>
              </w:rPr>
            </w:pPr>
            <w:r>
              <w:rPr>
                <w:lang w:val="fr-FR"/>
              </w:rPr>
              <w:t>271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A9466A7" w14:textId="77777777">
            <w:pPr>
              <w:pStyle w:val="Tab3MiddleColNonGras"/>
              <w:rPr>
                <w:lang w:val="fr-FR"/>
              </w:rPr>
            </w:pPr>
            <w:r>
              <w:rPr>
                <w:lang w:val="fr-FR"/>
              </w:rPr>
              <w:t>7 086,09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A330B21" w14:textId="77777777">
            <w:pPr>
              <w:pStyle w:val="Tab3LastColNonGras"/>
              <w:rPr>
                <w:lang w:val="fr-FR"/>
              </w:rPr>
            </w:pPr>
            <w:r>
              <w:rPr>
                <w:lang w:val="fr-FR"/>
              </w:rPr>
              <w:t>0,00</w:t>
            </w:r>
          </w:p>
        </w:tc>
      </w:tr>
      <w:tr w14:paraId="6F498FD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BF7CD2D" w14:textId="77777777">
            <w:pPr>
              <w:pStyle w:val="Tab3FirstColNonGras"/>
              <w:rPr>
                <w:lang w:val="fr-FR"/>
              </w:rPr>
            </w:pPr>
            <w:r>
              <w:rPr>
                <w:lang w:val="fr-FR"/>
              </w:rPr>
              <w:t>INVESTOR AB-B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C8721AB"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72393A8" w14:textId="77777777">
            <w:pPr>
              <w:pStyle w:val="Tab3MiddleColNonGras"/>
              <w:rPr>
                <w:lang w:val="fr-FR"/>
              </w:rPr>
            </w:pPr>
            <w:r>
              <w:rPr>
                <w:lang w:val="fr-FR"/>
              </w:rPr>
              <w:t>9 443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AE47BA8" w14:textId="77777777">
            <w:pPr>
              <w:pStyle w:val="Tab3MiddleColNonGras"/>
              <w:rPr>
                <w:lang w:val="fr-FR"/>
              </w:rPr>
            </w:pPr>
            <w:r>
              <w:rPr>
                <w:lang w:val="fr-FR"/>
              </w:rPr>
              <w:t>277 184,76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A68BDE4" w14:textId="77777777">
            <w:pPr>
              <w:pStyle w:val="Tab3LastColNonGras"/>
              <w:rPr>
                <w:lang w:val="fr-FR"/>
              </w:rPr>
            </w:pPr>
            <w:r>
              <w:rPr>
                <w:lang w:val="fr-FR"/>
              </w:rPr>
              <w:t>0,08</w:t>
            </w:r>
          </w:p>
        </w:tc>
      </w:tr>
      <w:tr w14:paraId="0E0080A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4203E43" w14:textId="77777777">
            <w:pPr>
              <w:pStyle w:val="Tab3FirstColNonGras"/>
              <w:rPr>
                <w:lang w:val="fr-FR"/>
              </w:rPr>
            </w:pPr>
            <w:r>
              <w:rPr>
                <w:lang w:val="fr-FR"/>
              </w:rPr>
              <w:t>JACK HENRY &amp; ASSOCIATES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40186A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9978751" w14:textId="77777777">
            <w:pPr>
              <w:pStyle w:val="Tab3MiddleColNonGras"/>
              <w:rPr>
                <w:lang w:val="fr-FR"/>
              </w:rPr>
            </w:pPr>
            <w:r>
              <w:rPr>
                <w:lang w:val="fr-FR"/>
              </w:rPr>
              <w:t>356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52EEF50" w14:textId="77777777">
            <w:pPr>
              <w:pStyle w:val="Tab3MiddleColNonGras"/>
              <w:rPr>
                <w:lang w:val="fr-FR"/>
              </w:rPr>
            </w:pPr>
            <w:r>
              <w:rPr>
                <w:lang w:val="fr-FR"/>
              </w:rPr>
              <w:t>64 140,52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49FB571" w14:textId="77777777">
            <w:pPr>
              <w:pStyle w:val="Tab3LastColNonGras"/>
              <w:rPr>
                <w:lang w:val="fr-FR"/>
              </w:rPr>
            </w:pPr>
            <w:r>
              <w:rPr>
                <w:lang w:val="fr-FR"/>
              </w:rPr>
              <w:t>0,02</w:t>
            </w:r>
          </w:p>
        </w:tc>
      </w:tr>
      <w:tr w14:paraId="2A656C8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44553168" w14:textId="77777777">
            <w:pPr>
              <w:pStyle w:val="Tab3FirstColNonGras"/>
              <w:rPr>
                <w:lang w:val="en-US"/>
              </w:rPr>
            </w:pPr>
            <w:r w:rsidRPr="00D61EB0">
              <w:rPr>
                <w:lang w:val="en-US"/>
              </w:rPr>
              <w:t>JAPAN POST BANK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3554457"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92B841D" w14:textId="77777777">
            <w:pPr>
              <w:pStyle w:val="Tab3MiddleColNonGras"/>
              <w:rPr>
                <w:lang w:val="fr-FR"/>
              </w:rPr>
            </w:pPr>
            <w:r>
              <w:rPr>
                <w:lang w:val="fr-FR"/>
              </w:rPr>
              <w:t>7 000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5782374" w14:textId="77777777">
            <w:pPr>
              <w:pStyle w:val="Tab3MiddleColNonGras"/>
              <w:rPr>
                <w:lang w:val="fr-FR"/>
              </w:rPr>
            </w:pPr>
            <w:r>
              <w:rPr>
                <w:lang w:val="fr-FR"/>
              </w:rPr>
              <w:t>75 357,41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CF4E798" w14:textId="77777777">
            <w:pPr>
              <w:pStyle w:val="Tab3LastColNonGras"/>
              <w:rPr>
                <w:lang w:val="fr-FR"/>
              </w:rPr>
            </w:pPr>
            <w:r>
              <w:rPr>
                <w:lang w:val="fr-FR"/>
              </w:rPr>
              <w:t>0,02</w:t>
            </w:r>
          </w:p>
        </w:tc>
      </w:tr>
      <w:tr w14:paraId="2034E4B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000C392" w14:textId="77777777">
            <w:pPr>
              <w:pStyle w:val="Tab3FirstColNonGras"/>
              <w:rPr>
                <w:lang w:val="fr-FR"/>
              </w:rPr>
            </w:pPr>
            <w:r>
              <w:rPr>
                <w:lang w:val="fr-FR"/>
              </w:rPr>
              <w:t>LABCORP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85B73B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771CA87" w14:textId="77777777">
            <w:pPr>
              <w:pStyle w:val="Tab3MiddleColNonGras"/>
              <w:rPr>
                <w:lang w:val="fr-FR"/>
              </w:rPr>
            </w:pPr>
            <w:r>
              <w:rPr>
                <w:lang w:val="fr-FR"/>
              </w:rPr>
              <w:t>383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3738199" w14:textId="77777777">
            <w:pPr>
              <w:pStyle w:val="Tab3MiddleColNonGras"/>
              <w:rPr>
                <w:lang w:val="fr-FR"/>
              </w:rPr>
            </w:pPr>
            <w:r>
              <w:rPr>
                <w:lang w:val="fr-FR"/>
              </w:rPr>
              <w:t>100 541,33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13F9B48" w14:textId="77777777">
            <w:pPr>
              <w:pStyle w:val="Tab3LastColNonGras"/>
              <w:rPr>
                <w:lang w:val="fr-FR"/>
              </w:rPr>
            </w:pPr>
            <w:r>
              <w:rPr>
                <w:lang w:val="fr-FR"/>
              </w:rPr>
              <w:t>0,03</w:t>
            </w:r>
          </w:p>
        </w:tc>
      </w:tr>
      <w:tr w14:paraId="746D95A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2835EB03" w14:textId="77777777">
            <w:pPr>
              <w:pStyle w:val="Tab3FirstColNonGras"/>
              <w:rPr>
                <w:lang w:val="en-US"/>
              </w:rPr>
            </w:pPr>
            <w:r w:rsidRPr="00D61EB0">
              <w:rPr>
                <w:lang w:val="en-US"/>
              </w:rPr>
              <w:t>LIBERTY MEDIA CORP-LIB-NEW-C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78598F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B4A5BDB" w14:textId="77777777">
            <w:pPr>
              <w:pStyle w:val="Tab3MiddleColNonGras"/>
              <w:rPr>
                <w:lang w:val="fr-FR"/>
              </w:rPr>
            </w:pPr>
            <w:r>
              <w:rPr>
                <w:lang w:val="fr-FR"/>
              </w:rPr>
              <w:t>1 256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EB29A68" w14:textId="77777777">
            <w:pPr>
              <w:pStyle w:val="Tab3MiddleColNonGras"/>
              <w:rPr>
                <w:lang w:val="fr-FR"/>
              </w:rPr>
            </w:pPr>
            <w:r>
              <w:rPr>
                <w:lang w:val="fr-FR"/>
              </w:rPr>
              <w:t>131 252,00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4DA43F2" w14:textId="77777777">
            <w:pPr>
              <w:pStyle w:val="Tab3LastColNonGras"/>
              <w:rPr>
                <w:lang w:val="fr-FR"/>
              </w:rPr>
            </w:pPr>
            <w:r>
              <w:rPr>
                <w:lang w:val="fr-FR"/>
              </w:rPr>
              <w:t>0,04</w:t>
            </w:r>
          </w:p>
        </w:tc>
      </w:tr>
      <w:tr w14:paraId="15AAFFF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B12C92A" w14:textId="77777777">
            <w:pPr>
              <w:pStyle w:val="Tab3FirstColNonGras"/>
              <w:rPr>
                <w:lang w:val="fr-FR"/>
              </w:rPr>
            </w:pPr>
            <w:r>
              <w:rPr>
                <w:lang w:val="fr-FR"/>
              </w:rPr>
              <w:t>LONDON STOCK EXCHANGE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ABC0B3B"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B078809" w14:textId="77777777">
            <w:pPr>
              <w:pStyle w:val="Tab3MiddleColNonGras"/>
              <w:rPr>
                <w:lang w:val="fr-FR"/>
              </w:rPr>
            </w:pPr>
            <w:r>
              <w:rPr>
                <w:lang w:val="fr-FR"/>
              </w:rPr>
              <w:t>2 337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AFAA48D" w14:textId="77777777">
            <w:pPr>
              <w:pStyle w:val="Tab3MiddleColNonGras"/>
              <w:rPr>
                <w:lang w:val="fr-FR"/>
              </w:rPr>
            </w:pPr>
            <w:r>
              <w:rPr>
                <w:lang w:val="fr-FR"/>
              </w:rPr>
              <w:t>340 589,10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C8782A0" w14:textId="77777777">
            <w:pPr>
              <w:pStyle w:val="Tab3LastColNonGras"/>
              <w:rPr>
                <w:lang w:val="fr-FR"/>
              </w:rPr>
            </w:pPr>
            <w:r>
              <w:rPr>
                <w:lang w:val="fr-FR"/>
              </w:rPr>
              <w:t>0,10</w:t>
            </w:r>
          </w:p>
        </w:tc>
      </w:tr>
      <w:tr w14:paraId="720AB87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C2A0696" w14:textId="77777777">
            <w:pPr>
              <w:pStyle w:val="Tab3FirstColNonGras"/>
              <w:rPr>
                <w:lang w:val="fr-FR"/>
              </w:rPr>
            </w:pPr>
            <w:r>
              <w:rPr>
                <w:lang w:val="fr-FR"/>
              </w:rPr>
              <w:t>LUNDBERGS AB-B SHS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34B8541" w14:textId="77777777">
            <w:pPr>
              <w:pStyle w:val="Tab1MiddleColNonGrasCentre"/>
              <w:rPr>
                <w:lang w:val="fr-FR"/>
              </w:rPr>
            </w:pPr>
            <w:r>
              <w:rPr>
                <w:lang w:val="fr-FR"/>
              </w:rPr>
              <w:t>SEK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343E383" w14:textId="77777777">
            <w:pPr>
              <w:pStyle w:val="Tab3MiddleColNonGras"/>
              <w:rPr>
                <w:lang w:val="fr-FR"/>
              </w:rPr>
            </w:pPr>
            <w:r>
              <w:rPr>
                <w:lang w:val="fr-FR"/>
              </w:rPr>
              <w:t>114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E7BC459" w14:textId="77777777">
            <w:pPr>
              <w:pStyle w:val="Tab3MiddleColNonGras"/>
              <w:rPr>
                <w:lang w:val="fr-FR"/>
              </w:rPr>
            </w:pPr>
            <w:r>
              <w:rPr>
                <w:lang w:val="fr-FR"/>
              </w:rPr>
              <w:t>5 641,15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D28672B" w14:textId="77777777">
            <w:pPr>
              <w:pStyle w:val="Tab3LastColNonGras"/>
              <w:rPr>
                <w:lang w:val="fr-FR"/>
              </w:rPr>
            </w:pPr>
            <w:r>
              <w:rPr>
                <w:lang w:val="fr-FR"/>
              </w:rPr>
              <w:t>0,00</w:t>
            </w:r>
          </w:p>
        </w:tc>
      </w:tr>
      <w:tr w14:paraId="583DD54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0543B0D" w14:textId="77777777">
            <w:pPr>
              <w:pStyle w:val="Tab3FirstColNonGras"/>
              <w:rPr>
                <w:lang w:val="fr-FR"/>
              </w:rPr>
            </w:pPr>
            <w:r>
              <w:rPr>
                <w:lang w:val="fr-FR"/>
              </w:rPr>
              <w:t>MASTERCARD INC -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A6A18A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3405140" w14:textId="77777777">
            <w:pPr>
              <w:pStyle w:val="Tab3MiddleColNonGras"/>
              <w:rPr>
                <w:lang w:val="fr-FR"/>
              </w:rPr>
            </w:pPr>
            <w:r>
              <w:rPr>
                <w:lang w:val="fr-FR"/>
              </w:rPr>
              <w:t>4 203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579DFE3" w14:textId="77777777">
            <w:pPr>
              <w:pStyle w:val="Tab3MiddleColNonGras"/>
              <w:rPr>
                <w:lang w:val="fr-FR"/>
              </w:rPr>
            </w:pPr>
            <w:r>
              <w:rPr>
                <w:lang w:val="fr-FR"/>
              </w:rPr>
              <w:t>2 361 833,82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F8EE6EC" w14:textId="77777777">
            <w:pPr>
              <w:pStyle w:val="Tab3LastColNonGras"/>
              <w:rPr>
                <w:lang w:val="fr-FR"/>
              </w:rPr>
            </w:pPr>
            <w:r>
              <w:rPr>
                <w:lang w:val="fr-FR"/>
              </w:rPr>
              <w:t>0,71</w:t>
            </w:r>
          </w:p>
        </w:tc>
      </w:tr>
      <w:tr w14:paraId="717410D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72D0EFD" w14:textId="77777777">
            <w:pPr>
              <w:pStyle w:val="Tab3FirstColNonGras"/>
              <w:rPr>
                <w:lang w:val="fr-FR"/>
              </w:rPr>
            </w:pPr>
            <w:r>
              <w:rPr>
                <w:lang w:val="fr-FR"/>
              </w:rPr>
              <w:t>MOODY'S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6A4F13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0C623F2" w14:textId="77777777">
            <w:pPr>
              <w:pStyle w:val="Tab3MiddleColNonGras"/>
              <w:rPr>
                <w:lang w:val="fr-FR"/>
              </w:rPr>
            </w:pPr>
            <w:r>
              <w:rPr>
                <w:lang w:val="fr-FR"/>
              </w:rPr>
              <w:t>799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C5DBC7A" w14:textId="77777777">
            <w:pPr>
              <w:pStyle w:val="Tab3MiddleColNonGras"/>
              <w:rPr>
                <w:lang w:val="fr-FR"/>
              </w:rPr>
            </w:pPr>
            <w:r>
              <w:rPr>
                <w:lang w:val="fr-FR"/>
              </w:rPr>
              <w:t>400 770,41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3146BAF" w14:textId="77777777">
            <w:pPr>
              <w:pStyle w:val="Tab3LastColNonGras"/>
              <w:rPr>
                <w:lang w:val="fr-FR"/>
              </w:rPr>
            </w:pPr>
            <w:r>
              <w:rPr>
                <w:lang w:val="fr-FR"/>
              </w:rPr>
              <w:t>0,12</w:t>
            </w:r>
          </w:p>
        </w:tc>
      </w:tr>
      <w:tr w14:paraId="601DAD9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CB6A9C0" w14:textId="77777777">
            <w:pPr>
              <w:pStyle w:val="Tab3FirstColNonGras"/>
              <w:rPr>
                <w:lang w:val="fr-FR"/>
              </w:rPr>
            </w:pPr>
            <w:r>
              <w:rPr>
                <w:lang w:val="fr-FR"/>
              </w:rPr>
              <w:t>NASDAQ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69AF3A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18243C2" w14:textId="77777777">
            <w:pPr>
              <w:pStyle w:val="Tab3MiddleColNonGras"/>
              <w:rPr>
                <w:lang w:val="fr-FR"/>
              </w:rPr>
            </w:pPr>
            <w:r>
              <w:rPr>
                <w:lang w:val="fr-FR"/>
              </w:rPr>
              <w:t>2 417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D6E2724" w14:textId="77777777">
            <w:pPr>
              <w:pStyle w:val="Tab3MiddleColNonGras"/>
              <w:rPr>
                <w:lang w:val="fr-FR"/>
              </w:rPr>
            </w:pPr>
            <w:r>
              <w:rPr>
                <w:lang w:val="fr-FR"/>
              </w:rPr>
              <w:t>216 128,14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5E07CBA" w14:textId="77777777">
            <w:pPr>
              <w:pStyle w:val="Tab3LastColNonGras"/>
              <w:rPr>
                <w:lang w:val="fr-FR"/>
              </w:rPr>
            </w:pPr>
            <w:r>
              <w:rPr>
                <w:lang w:val="fr-FR"/>
              </w:rPr>
              <w:t>0,06</w:t>
            </w:r>
          </w:p>
        </w:tc>
      </w:tr>
      <w:tr w14:paraId="1A33559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D9907F1" w14:textId="77777777">
            <w:pPr>
              <w:pStyle w:val="Tab3FirstColNonGras"/>
              <w:rPr>
                <w:lang w:val="fr-FR"/>
              </w:rPr>
            </w:pPr>
            <w:r>
              <w:rPr>
                <w:lang w:val="fr-FR"/>
              </w:rPr>
              <w:t>ORIX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2D28816"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1BB7E40" w14:textId="77777777">
            <w:pPr>
              <w:pStyle w:val="Tab3MiddleColNonGras"/>
              <w:rPr>
                <w:lang w:val="fr-FR"/>
              </w:rPr>
            </w:pPr>
            <w:r>
              <w:rPr>
                <w:lang w:val="fr-FR"/>
              </w:rPr>
              <w:t>7 000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0E710F4" w14:textId="77777777">
            <w:pPr>
              <w:pStyle w:val="Tab3MiddleColNonGras"/>
              <w:rPr>
                <w:lang w:val="fr-FR"/>
              </w:rPr>
            </w:pPr>
            <w:r>
              <w:rPr>
                <w:lang w:val="fr-FR"/>
              </w:rPr>
              <w:t>157 984,02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B8220DC" w14:textId="77777777">
            <w:pPr>
              <w:pStyle w:val="Tab3LastColNonGras"/>
              <w:rPr>
                <w:lang w:val="fr-FR"/>
              </w:rPr>
            </w:pPr>
            <w:r>
              <w:rPr>
                <w:lang w:val="fr-FR"/>
              </w:rPr>
              <w:t>0,05</w:t>
            </w:r>
          </w:p>
        </w:tc>
      </w:tr>
      <w:tr w14:paraId="3F1C5A3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E674823" w14:textId="77777777">
            <w:pPr>
              <w:pStyle w:val="Tab3FirstColNonGras"/>
              <w:rPr>
                <w:lang w:val="fr-FR"/>
              </w:rPr>
            </w:pPr>
            <w:r>
              <w:rPr>
                <w:lang w:val="fr-FR"/>
              </w:rPr>
              <w:t>RALLIANT CORP-W/I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B474F1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9B2002C" w14:textId="77777777">
            <w:pPr>
              <w:pStyle w:val="Tab3MiddleColNonGras"/>
              <w:rPr>
                <w:lang w:val="fr-FR"/>
              </w:rPr>
            </w:pPr>
            <w:r>
              <w:rPr>
                <w:lang w:val="fr-FR"/>
              </w:rPr>
              <w:t>1 332,2001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CBD5127" w14:textId="77777777">
            <w:pPr>
              <w:pStyle w:val="Tab3MiddleColNonGras"/>
              <w:rPr>
                <w:lang w:val="fr-FR"/>
              </w:rPr>
            </w:pPr>
            <w:r>
              <w:rPr>
                <w:lang w:val="fr-FR"/>
              </w:rPr>
              <w:t>64 598,38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5DF35B5" w14:textId="77777777">
            <w:pPr>
              <w:pStyle w:val="Tab3LastColNonGras"/>
              <w:rPr>
                <w:lang w:val="fr-FR"/>
              </w:rPr>
            </w:pPr>
            <w:r>
              <w:rPr>
                <w:lang w:val="fr-FR"/>
              </w:rPr>
              <w:t>0,02</w:t>
            </w:r>
          </w:p>
        </w:tc>
      </w:tr>
      <w:tr w14:paraId="3A5FE22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DBDB451" w14:textId="77777777">
            <w:pPr>
              <w:pStyle w:val="Tab3FirstColNonGras"/>
              <w:rPr>
                <w:lang w:val="fr-FR"/>
              </w:rPr>
            </w:pPr>
            <w:r>
              <w:rPr>
                <w:lang w:val="fr-FR"/>
              </w:rPr>
              <w:t>RAYMOND JAMES FINANCIAL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1BB541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A955622" w14:textId="77777777">
            <w:pPr>
              <w:pStyle w:val="Tab3MiddleColNonGras"/>
              <w:rPr>
                <w:lang w:val="fr-FR"/>
              </w:rPr>
            </w:pPr>
            <w:r>
              <w:rPr>
                <w:lang w:val="fr-FR"/>
              </w:rPr>
              <w:t>954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E165282" w14:textId="77777777">
            <w:pPr>
              <w:pStyle w:val="Tab3MiddleColNonGras"/>
              <w:rPr>
                <w:lang w:val="fr-FR"/>
              </w:rPr>
            </w:pPr>
            <w:r>
              <w:rPr>
                <w:lang w:val="fr-FR"/>
              </w:rPr>
              <w:t>146 314,98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9681E51" w14:textId="77777777">
            <w:pPr>
              <w:pStyle w:val="Tab3LastColNonGras"/>
              <w:rPr>
                <w:lang w:val="fr-FR"/>
              </w:rPr>
            </w:pPr>
            <w:r>
              <w:rPr>
                <w:lang w:val="fr-FR"/>
              </w:rPr>
              <w:t>0,04</w:t>
            </w:r>
          </w:p>
        </w:tc>
      </w:tr>
      <w:tr w14:paraId="53F4379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B735B52" w14:textId="77777777">
            <w:pPr>
              <w:pStyle w:val="Tab3FirstColNonGras"/>
              <w:rPr>
                <w:lang w:val="fr-FR"/>
              </w:rPr>
            </w:pPr>
            <w:r>
              <w:rPr>
                <w:lang w:val="fr-FR"/>
              </w:rPr>
              <w:t>S&amp;P GLOBAL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382FCE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32D18E3" w14:textId="77777777">
            <w:pPr>
              <w:pStyle w:val="Tab3MiddleColNonGras"/>
              <w:rPr>
                <w:lang w:val="fr-FR"/>
              </w:rPr>
            </w:pPr>
            <w:r>
              <w:rPr>
                <w:lang w:val="fr-FR"/>
              </w:rPr>
              <w:t>1 612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42096AD" w14:textId="77777777">
            <w:pPr>
              <w:pStyle w:val="Tab3MiddleColNonGras"/>
              <w:rPr>
                <w:lang w:val="fr-FR"/>
              </w:rPr>
            </w:pPr>
            <w:r>
              <w:rPr>
                <w:lang w:val="fr-FR"/>
              </w:rPr>
              <w:t>849 991,48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1415F5C" w14:textId="77777777">
            <w:pPr>
              <w:pStyle w:val="Tab3LastColNonGras"/>
              <w:rPr>
                <w:lang w:val="fr-FR"/>
              </w:rPr>
            </w:pPr>
            <w:r>
              <w:rPr>
                <w:lang w:val="fr-FR"/>
              </w:rPr>
              <w:t>0,24</w:t>
            </w:r>
          </w:p>
        </w:tc>
      </w:tr>
      <w:tr w14:paraId="1249987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B04AC23" w14:textId="77777777">
            <w:pPr>
              <w:pStyle w:val="Tab3FirstColNonGras"/>
              <w:rPr>
                <w:lang w:val="fr-FR"/>
              </w:rPr>
            </w:pPr>
            <w:r>
              <w:rPr>
                <w:lang w:val="fr-FR"/>
              </w:rPr>
              <w:t>SG HOLDINGS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D4C9B39"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EEBB1BF" w14:textId="77777777">
            <w:pPr>
              <w:pStyle w:val="Tab3MiddleColNonGras"/>
              <w:rPr>
                <w:lang w:val="fr-FR"/>
              </w:rPr>
            </w:pPr>
            <w:r>
              <w:rPr>
                <w:lang w:val="fr-FR"/>
              </w:rPr>
              <w:t>1 700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30ED6A3" w14:textId="77777777">
            <w:pPr>
              <w:pStyle w:val="Tab3MiddleColNonGras"/>
              <w:rPr>
                <w:lang w:val="fr-FR"/>
              </w:rPr>
            </w:pPr>
            <w:r>
              <w:rPr>
                <w:lang w:val="fr-FR"/>
              </w:rPr>
              <w:t>18 907,20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B4CF46C" w14:textId="77777777">
            <w:pPr>
              <w:pStyle w:val="Tab3LastColNonGras"/>
              <w:rPr>
                <w:lang w:val="fr-FR"/>
              </w:rPr>
            </w:pPr>
            <w:r>
              <w:rPr>
                <w:lang w:val="fr-FR"/>
              </w:rPr>
              <w:t>0,01</w:t>
            </w:r>
          </w:p>
        </w:tc>
      </w:tr>
      <w:tr w14:paraId="2938F4A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C6B0724" w14:textId="77777777">
            <w:pPr>
              <w:pStyle w:val="Tab3FirstColNonGras"/>
              <w:rPr>
                <w:lang w:val="fr-FR"/>
              </w:rPr>
            </w:pPr>
            <w:r>
              <w:rPr>
                <w:lang w:val="fr-FR"/>
              </w:rPr>
              <w:t>SOFINA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0FDB7DD"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0834D36" w14:textId="77777777">
            <w:pPr>
              <w:pStyle w:val="Tab3MiddleColNonGras"/>
              <w:rPr>
                <w:lang w:val="fr-FR"/>
              </w:rPr>
            </w:pPr>
            <w:r>
              <w:rPr>
                <w:lang w:val="fr-FR"/>
              </w:rPr>
              <w:t>176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835E5BD" w14:textId="77777777">
            <w:pPr>
              <w:pStyle w:val="Tab3MiddleColNonGras"/>
              <w:rPr>
                <w:lang w:val="fr-FR"/>
              </w:rPr>
            </w:pPr>
            <w:r>
              <w:rPr>
                <w:lang w:val="fr-FR"/>
              </w:rPr>
              <w:t>57 847,33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6BB4453" w14:textId="77777777">
            <w:pPr>
              <w:pStyle w:val="Tab3LastColNonGras"/>
              <w:rPr>
                <w:lang w:val="fr-FR"/>
              </w:rPr>
            </w:pPr>
            <w:r>
              <w:rPr>
                <w:lang w:val="fr-FR"/>
              </w:rPr>
              <w:t>0,02</w:t>
            </w:r>
          </w:p>
        </w:tc>
      </w:tr>
      <w:tr w14:paraId="449662B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90D7B1D" w14:textId="77777777">
            <w:pPr>
              <w:pStyle w:val="Tab3FirstColNonGras"/>
              <w:rPr>
                <w:lang w:val="fr-FR"/>
              </w:rPr>
            </w:pPr>
            <w:r>
              <w:rPr>
                <w:lang w:val="fr-FR"/>
              </w:rPr>
              <w:t>TMX GR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538CAF8"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ECF7837" w14:textId="77777777">
            <w:pPr>
              <w:pStyle w:val="Tab3MiddleColNonGras"/>
              <w:rPr>
                <w:lang w:val="fr-FR"/>
              </w:rPr>
            </w:pPr>
            <w:r>
              <w:rPr>
                <w:lang w:val="fr-FR"/>
              </w:rPr>
              <w:t>1 732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843B3F2" w14:textId="77777777">
            <w:pPr>
              <w:pStyle w:val="Tab3MiddleColNonGras"/>
              <w:rPr>
                <w:lang w:val="fr-FR"/>
              </w:rPr>
            </w:pPr>
            <w:r>
              <w:rPr>
                <w:lang w:val="fr-FR"/>
              </w:rPr>
              <w:t>73 264,25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85AF5DA" w14:textId="77777777">
            <w:pPr>
              <w:pStyle w:val="Tab3LastColNonGras"/>
              <w:rPr>
                <w:lang w:val="fr-FR"/>
              </w:rPr>
            </w:pPr>
            <w:r>
              <w:rPr>
                <w:lang w:val="fr-FR"/>
              </w:rPr>
              <w:t>0,02</w:t>
            </w:r>
          </w:p>
        </w:tc>
      </w:tr>
      <w:tr w14:paraId="06ECE66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856F5DA" w14:textId="77777777">
            <w:pPr>
              <w:pStyle w:val="Tab3FirstColNonGras"/>
              <w:rPr>
                <w:lang w:val="fr-FR"/>
              </w:rPr>
            </w:pPr>
            <w:r>
              <w:rPr>
                <w:lang w:val="fr-FR"/>
              </w:rPr>
              <w:t>ULTA BEAUTY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B229C7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9D85247" w14:textId="77777777">
            <w:pPr>
              <w:pStyle w:val="Tab3MiddleColNonGras"/>
              <w:rPr>
                <w:lang w:val="fr-FR"/>
              </w:rPr>
            </w:pPr>
            <w:r>
              <w:rPr>
                <w:lang w:val="fr-FR"/>
              </w:rPr>
              <w:t>538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AD91C40" w14:textId="77777777">
            <w:pPr>
              <w:pStyle w:val="Tab3MiddleColNonGras"/>
              <w:rPr>
                <w:lang w:val="fr-FR"/>
              </w:rPr>
            </w:pPr>
            <w:r>
              <w:rPr>
                <w:lang w:val="fr-FR"/>
              </w:rPr>
              <w:t>251 687,16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61D8E68" w14:textId="77777777">
            <w:pPr>
              <w:pStyle w:val="Tab3LastColNonGras"/>
              <w:rPr>
                <w:lang w:val="fr-FR"/>
              </w:rPr>
            </w:pPr>
            <w:r>
              <w:rPr>
                <w:lang w:val="fr-FR"/>
              </w:rPr>
              <w:t>0,07</w:t>
            </w:r>
          </w:p>
        </w:tc>
      </w:tr>
      <w:tr w14:paraId="7E9E2E4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94ECC5D" w14:textId="77777777">
            <w:pPr>
              <w:pStyle w:val="Tab3FirstColNonGras"/>
              <w:rPr>
                <w:lang w:val="fr-FR"/>
              </w:rPr>
            </w:pPr>
            <w:r>
              <w:rPr>
                <w:lang w:val="fr-FR"/>
              </w:rPr>
              <w:t>VERALTO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F02DD4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BF0EB27" w14:textId="77777777">
            <w:pPr>
              <w:pStyle w:val="Tab3MiddleColNonGras"/>
              <w:rPr>
                <w:lang w:val="fr-FR"/>
              </w:rPr>
            </w:pPr>
            <w:r>
              <w:rPr>
                <w:lang w:val="fr-FR"/>
              </w:rPr>
              <w:t>2 855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47A0DB6" w14:textId="77777777">
            <w:pPr>
              <w:pStyle w:val="Tab3MiddleColNonGras"/>
              <w:rPr>
                <w:lang w:val="fr-FR"/>
              </w:rPr>
            </w:pPr>
            <w:r>
              <w:rPr>
                <w:lang w:val="fr-FR"/>
              </w:rPr>
              <w:t>288 212,25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96CD117" w14:textId="77777777">
            <w:pPr>
              <w:pStyle w:val="Tab3LastColNonGras"/>
              <w:rPr>
                <w:lang w:val="fr-FR"/>
              </w:rPr>
            </w:pPr>
            <w:r>
              <w:rPr>
                <w:lang w:val="fr-FR"/>
              </w:rPr>
              <w:t>0,08</w:t>
            </w:r>
          </w:p>
        </w:tc>
      </w:tr>
      <w:tr w14:paraId="74E3A79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56157B8" w14:textId="77777777">
            <w:pPr>
              <w:pStyle w:val="Tab3FirstColNonGras"/>
              <w:rPr>
                <w:lang w:val="fr-FR"/>
              </w:rPr>
            </w:pPr>
            <w:r>
              <w:rPr>
                <w:lang w:val="fr-FR"/>
              </w:rPr>
              <w:t>VERTIV HOLDINGS CO-A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26EFB1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6A3ABFA" w14:textId="77777777">
            <w:pPr>
              <w:pStyle w:val="Tab3MiddleColNonGras"/>
              <w:rPr>
                <w:lang w:val="fr-FR"/>
              </w:rPr>
            </w:pPr>
            <w:r>
              <w:rPr>
                <w:lang w:val="fr-FR"/>
              </w:rPr>
              <w:t>3 905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0094AA5" w14:textId="77777777">
            <w:pPr>
              <w:pStyle w:val="Tab3MiddleColNonGras"/>
              <w:rPr>
                <w:lang w:val="fr-FR"/>
              </w:rPr>
            </w:pPr>
            <w:r>
              <w:rPr>
                <w:lang w:val="fr-FR"/>
              </w:rPr>
              <w:t>501 441,05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F8177F5" w14:textId="77777777">
            <w:pPr>
              <w:pStyle w:val="Tab3LastColNonGras"/>
              <w:rPr>
                <w:lang w:val="fr-FR"/>
              </w:rPr>
            </w:pPr>
            <w:r>
              <w:rPr>
                <w:lang w:val="fr-FR"/>
              </w:rPr>
              <w:t>0,14</w:t>
            </w:r>
          </w:p>
        </w:tc>
      </w:tr>
      <w:tr w14:paraId="0CF2B43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CA0ADBC" w14:textId="77777777">
            <w:pPr>
              <w:pStyle w:val="Tab3FirstColNonGras"/>
              <w:rPr>
                <w:lang w:val="fr-FR"/>
              </w:rPr>
            </w:pPr>
            <w:r>
              <w:rPr>
                <w:lang w:val="fr-FR"/>
              </w:rPr>
              <w:t>WELLTOWER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B35DE8A"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CA7146B" w14:textId="77777777">
            <w:pPr>
              <w:pStyle w:val="Tab3MiddleColNonGras"/>
              <w:rPr>
                <w:lang w:val="fr-FR"/>
              </w:rPr>
            </w:pPr>
            <w:r>
              <w:rPr>
                <w:lang w:val="fr-FR"/>
              </w:rPr>
              <w:t>7 559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0C7473B" w14:textId="77777777">
            <w:pPr>
              <w:pStyle w:val="Tab3MiddleColNonGras"/>
              <w:rPr>
                <w:lang w:val="fr-FR"/>
              </w:rPr>
            </w:pPr>
            <w:r>
              <w:rPr>
                <w:lang w:val="fr-FR"/>
              </w:rPr>
              <w:t>1 162 045,07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8046DBC" w14:textId="77777777">
            <w:pPr>
              <w:pStyle w:val="Tab3LastColNonGras"/>
              <w:rPr>
                <w:lang w:val="fr-FR"/>
              </w:rPr>
            </w:pPr>
            <w:r>
              <w:rPr>
                <w:lang w:val="fr-FR"/>
              </w:rPr>
              <w:t>0,33</w:t>
            </w:r>
          </w:p>
        </w:tc>
      </w:tr>
      <w:tr w14:paraId="3BC6EE1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55F78F0C" w14:textId="77777777">
            <w:pPr>
              <w:pStyle w:val="Tab1FirstColGras"/>
              <w:rPr>
                <w:lang w:val="fr-FR"/>
              </w:rPr>
            </w:pPr>
            <w:r>
              <w:rPr>
                <w:lang w:val="fr-FR"/>
              </w:rPr>
              <w:t>Services liés aux technologies de l'information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153791A2"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0FDAB844"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54DBB5F5" w14:textId="77777777">
            <w:pPr>
              <w:pStyle w:val="Tab1MiddleColGras"/>
              <w:rPr>
                <w:lang w:val="fr-FR"/>
              </w:rPr>
            </w:pPr>
            <w:r>
              <w:rPr>
                <w:lang w:val="fr-FR"/>
              </w:rPr>
              <w:t>5 800 008,97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BE06D1F" w14:textId="77777777">
            <w:pPr>
              <w:pStyle w:val="Tab1LastColGras"/>
              <w:rPr>
                <w:lang w:val="fr-FR"/>
              </w:rPr>
            </w:pPr>
            <w:r>
              <w:rPr>
                <w:lang w:val="fr-FR"/>
              </w:rPr>
              <w:t>1,67</w:t>
            </w:r>
          </w:p>
        </w:tc>
      </w:tr>
      <w:tr w14:paraId="4AE26C2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9A7D7AB" w14:textId="77777777">
            <w:pPr>
              <w:pStyle w:val="Tab3FirstColNonGras"/>
              <w:rPr>
                <w:lang w:val="fr-FR"/>
              </w:rPr>
            </w:pPr>
            <w:r>
              <w:rPr>
                <w:lang w:val="fr-FR"/>
              </w:rPr>
              <w:t>AKAMAI TECHNOLOGIES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7099EA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717425B" w14:textId="77777777">
            <w:pPr>
              <w:pStyle w:val="Tab3MiddleColNonGras"/>
              <w:rPr>
                <w:lang w:val="fr-FR"/>
              </w:rPr>
            </w:pPr>
            <w:r>
              <w:rPr>
                <w:lang w:val="fr-FR"/>
              </w:rPr>
              <w:t>687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2597BEC" w14:textId="77777777">
            <w:pPr>
              <w:pStyle w:val="Tab3MiddleColNonGras"/>
              <w:rPr>
                <w:lang w:val="fr-FR"/>
              </w:rPr>
            </w:pPr>
            <w:r>
              <w:rPr>
                <w:lang w:val="fr-FR"/>
              </w:rPr>
              <w:t>54 795,12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DF3BE90" w14:textId="77777777">
            <w:pPr>
              <w:pStyle w:val="Tab3LastColNonGras"/>
              <w:rPr>
                <w:lang w:val="fr-FR"/>
              </w:rPr>
            </w:pPr>
            <w:r>
              <w:rPr>
                <w:lang w:val="fr-FR"/>
              </w:rPr>
              <w:t>0,02</w:t>
            </w:r>
          </w:p>
        </w:tc>
      </w:tr>
      <w:tr w14:paraId="4AD54C0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B5B52AE" w14:textId="77777777">
            <w:pPr>
              <w:pStyle w:val="Tab3FirstColNonGras"/>
              <w:rPr>
                <w:lang w:val="fr-FR"/>
              </w:rPr>
            </w:pPr>
            <w:r>
              <w:rPr>
                <w:lang w:val="fr-FR"/>
              </w:rPr>
              <w:t>CAPGEMINI SE</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97FC07E"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5086F2D" w14:textId="77777777">
            <w:pPr>
              <w:pStyle w:val="Tab3MiddleColNonGras"/>
              <w:rPr>
                <w:lang w:val="fr-FR"/>
              </w:rPr>
            </w:pPr>
            <w:r>
              <w:rPr>
                <w:lang w:val="fr-FR"/>
              </w:rPr>
              <w:t>856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F9DDD2D" w14:textId="77777777">
            <w:pPr>
              <w:pStyle w:val="Tab3MiddleColNonGras"/>
              <w:rPr>
                <w:lang w:val="fr-FR"/>
              </w:rPr>
            </w:pPr>
            <w:r>
              <w:rPr>
                <w:lang w:val="fr-FR"/>
              </w:rPr>
              <w:t>145 748,50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63ADA4A" w14:textId="77777777">
            <w:pPr>
              <w:pStyle w:val="Tab3LastColNonGras"/>
              <w:rPr>
                <w:lang w:val="fr-FR"/>
              </w:rPr>
            </w:pPr>
            <w:r>
              <w:rPr>
                <w:lang w:val="fr-FR"/>
              </w:rPr>
              <w:t>0,04</w:t>
            </w:r>
          </w:p>
        </w:tc>
      </w:tr>
      <w:tr w14:paraId="1E0577A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3D1BDC4" w14:textId="77777777">
            <w:pPr>
              <w:pStyle w:val="Tab3FirstColNonGras"/>
              <w:rPr>
                <w:lang w:val="fr-FR"/>
              </w:rPr>
            </w:pPr>
            <w:r>
              <w:rPr>
                <w:lang w:val="fr-FR"/>
              </w:rPr>
              <w:t>CGI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06A0EA0"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FBFE4DF" w14:textId="77777777">
            <w:pPr>
              <w:pStyle w:val="Tab3MiddleColNonGras"/>
              <w:rPr>
                <w:lang w:val="fr-FR"/>
              </w:rPr>
            </w:pPr>
            <w:r>
              <w:rPr>
                <w:lang w:val="fr-FR"/>
              </w:rPr>
              <w:t>1 118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FBC0332" w14:textId="77777777">
            <w:pPr>
              <w:pStyle w:val="Tab3MiddleColNonGras"/>
              <w:rPr>
                <w:lang w:val="fr-FR"/>
              </w:rPr>
            </w:pPr>
            <w:r>
              <w:rPr>
                <w:lang w:val="fr-FR"/>
              </w:rPr>
              <w:t>117 172,60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AD37A3D" w14:textId="77777777">
            <w:pPr>
              <w:pStyle w:val="Tab3LastColNonGras"/>
              <w:rPr>
                <w:lang w:val="fr-FR"/>
              </w:rPr>
            </w:pPr>
            <w:r>
              <w:rPr>
                <w:lang w:val="fr-FR"/>
              </w:rPr>
              <w:t>0,03</w:t>
            </w:r>
          </w:p>
        </w:tc>
      </w:tr>
      <w:tr w14:paraId="5138EA0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2CB7D42" w14:textId="77777777">
            <w:pPr>
              <w:pStyle w:val="Tab3FirstColNonGras"/>
              <w:rPr>
                <w:lang w:val="fr-FR"/>
              </w:rPr>
            </w:pPr>
            <w:r>
              <w:rPr>
                <w:lang w:val="fr-FR"/>
              </w:rPr>
              <w:t>CLOUDFLARE INC - 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3912D08"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37986DD" w14:textId="77777777">
            <w:pPr>
              <w:pStyle w:val="Tab3MiddleColNonGras"/>
              <w:rPr>
                <w:lang w:val="fr-FR"/>
              </w:rPr>
            </w:pPr>
            <w:r>
              <w:rPr>
                <w:lang w:val="fr-FR"/>
              </w:rPr>
              <w:t>1 615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837A8E5" w14:textId="77777777">
            <w:pPr>
              <w:pStyle w:val="Tab3MiddleColNonGras"/>
              <w:rPr>
                <w:lang w:val="fr-FR"/>
              </w:rPr>
            </w:pPr>
            <w:r>
              <w:rPr>
                <w:lang w:val="fr-FR"/>
              </w:rPr>
              <w:t>316 265,45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A574684" w14:textId="77777777">
            <w:pPr>
              <w:pStyle w:val="Tab3LastColNonGras"/>
              <w:rPr>
                <w:lang w:val="fr-FR"/>
              </w:rPr>
            </w:pPr>
            <w:r>
              <w:rPr>
                <w:lang w:val="fr-FR"/>
              </w:rPr>
              <w:t>0,09</w:t>
            </w:r>
          </w:p>
        </w:tc>
      </w:tr>
      <w:tr w14:paraId="1ED7353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F76F19A" w14:textId="77777777">
            <w:pPr>
              <w:pStyle w:val="Tab3FirstColNonGras"/>
              <w:rPr>
                <w:lang w:val="fr-FR"/>
              </w:rPr>
            </w:pPr>
            <w:r>
              <w:rPr>
                <w:lang w:val="fr-FR"/>
              </w:rPr>
              <w:t>COGNIZANT TECH SOLUTIONS-A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11F595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AB43C60" w14:textId="77777777">
            <w:pPr>
              <w:pStyle w:val="Tab3MiddleColNonGras"/>
              <w:rPr>
                <w:lang w:val="fr-FR"/>
              </w:rPr>
            </w:pPr>
            <w:r>
              <w:rPr>
                <w:lang w:val="fr-FR"/>
              </w:rPr>
              <w:t>2 382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F7CDE74" w14:textId="77777777">
            <w:pPr>
              <w:pStyle w:val="Tab3MiddleColNonGras"/>
              <w:rPr>
                <w:lang w:val="fr-FR"/>
              </w:rPr>
            </w:pPr>
            <w:r>
              <w:rPr>
                <w:lang w:val="fr-FR"/>
              </w:rPr>
              <w:t>185 867,46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46EEF18" w14:textId="77777777">
            <w:pPr>
              <w:pStyle w:val="Tab3LastColNonGras"/>
              <w:rPr>
                <w:lang w:val="fr-FR"/>
              </w:rPr>
            </w:pPr>
            <w:r>
              <w:rPr>
                <w:lang w:val="fr-FR"/>
              </w:rPr>
              <w:t>0,05</w:t>
            </w:r>
          </w:p>
        </w:tc>
      </w:tr>
      <w:tr w14:paraId="5EFC618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121ACD0" w14:textId="77777777">
            <w:pPr>
              <w:pStyle w:val="Tab3FirstColNonGras"/>
              <w:rPr>
                <w:lang w:val="fr-FR"/>
              </w:rPr>
            </w:pPr>
            <w:r>
              <w:rPr>
                <w:lang w:val="fr-FR"/>
              </w:rPr>
              <w:t>DATADOG INC - 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3EF90F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89A0330" w14:textId="77777777">
            <w:pPr>
              <w:pStyle w:val="Tab3MiddleColNonGras"/>
              <w:rPr>
                <w:lang w:val="fr-FR"/>
              </w:rPr>
            </w:pPr>
            <w:r>
              <w:rPr>
                <w:lang w:val="fr-FR"/>
              </w:rPr>
              <w:t>1 388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7793B01" w14:textId="77777777">
            <w:pPr>
              <w:pStyle w:val="Tab3MiddleColNonGras"/>
              <w:rPr>
                <w:lang w:val="fr-FR"/>
              </w:rPr>
            </w:pPr>
            <w:r>
              <w:rPr>
                <w:lang w:val="fr-FR"/>
              </w:rPr>
              <w:t>186 450,04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0D964C9" w14:textId="77777777">
            <w:pPr>
              <w:pStyle w:val="Tab3LastColNonGras"/>
              <w:rPr>
                <w:lang w:val="fr-FR"/>
              </w:rPr>
            </w:pPr>
            <w:r>
              <w:rPr>
                <w:lang w:val="fr-FR"/>
              </w:rPr>
              <w:t>0,05</w:t>
            </w:r>
          </w:p>
        </w:tc>
      </w:tr>
      <w:tr w14:paraId="29FAB74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336C1FA" w14:textId="77777777">
            <w:pPr>
              <w:pStyle w:val="Tab3FirstColNonGras"/>
              <w:rPr>
                <w:lang w:val="fr-FR"/>
              </w:rPr>
            </w:pPr>
            <w:r>
              <w:rPr>
                <w:lang w:val="fr-FR"/>
              </w:rPr>
              <w:t>DELL TECHNOLOGIES -C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6BC5B4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3077DC0" w14:textId="77777777">
            <w:pPr>
              <w:pStyle w:val="Tab3MiddleColNonGras"/>
              <w:rPr>
                <w:lang w:val="fr-FR"/>
              </w:rPr>
            </w:pPr>
            <w:r>
              <w:rPr>
                <w:lang w:val="fr-FR"/>
              </w:rPr>
              <w:t>907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170145B" w14:textId="77777777">
            <w:pPr>
              <w:pStyle w:val="Tab3MiddleColNonGras"/>
              <w:rPr>
                <w:lang w:val="fr-FR"/>
              </w:rPr>
            </w:pPr>
            <w:r>
              <w:rPr>
                <w:lang w:val="fr-FR"/>
              </w:rPr>
              <w:t>111 198,20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3C9A639" w14:textId="77777777">
            <w:pPr>
              <w:pStyle w:val="Tab3LastColNonGras"/>
              <w:rPr>
                <w:lang w:val="fr-FR"/>
              </w:rPr>
            </w:pPr>
            <w:r>
              <w:rPr>
                <w:lang w:val="fr-FR"/>
              </w:rPr>
              <w:t>0,03</w:t>
            </w:r>
          </w:p>
        </w:tc>
      </w:tr>
      <w:tr w14:paraId="58585E3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25599DA" w14:textId="77777777">
            <w:pPr>
              <w:pStyle w:val="Tab3FirstColNonGras"/>
              <w:rPr>
                <w:lang w:val="fr-FR"/>
              </w:rPr>
            </w:pPr>
            <w:r>
              <w:rPr>
                <w:lang w:val="fr-FR"/>
              </w:rPr>
              <w:t>GARTNER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8FBF41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4D11E61" w14:textId="77777777">
            <w:pPr>
              <w:pStyle w:val="Tab3MiddleColNonGras"/>
              <w:rPr>
                <w:lang w:val="fr-FR"/>
              </w:rPr>
            </w:pPr>
            <w:r>
              <w:rPr>
                <w:lang w:val="fr-FR"/>
              </w:rPr>
              <w:t>400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5875645" w14:textId="77777777">
            <w:pPr>
              <w:pStyle w:val="Tab3MiddleColNonGras"/>
              <w:rPr>
                <w:lang w:val="fr-FR"/>
              </w:rPr>
            </w:pPr>
            <w:r>
              <w:rPr>
                <w:lang w:val="fr-FR"/>
              </w:rPr>
              <w:t>161 688,00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4053F41" w14:textId="77777777">
            <w:pPr>
              <w:pStyle w:val="Tab3LastColNonGras"/>
              <w:rPr>
                <w:lang w:val="fr-FR"/>
              </w:rPr>
            </w:pPr>
            <w:r>
              <w:rPr>
                <w:lang w:val="fr-FR"/>
              </w:rPr>
              <w:t>0,05</w:t>
            </w:r>
          </w:p>
        </w:tc>
      </w:tr>
      <w:tr w14:paraId="7CAA436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122D691" w14:textId="77777777">
            <w:pPr>
              <w:pStyle w:val="Tab3FirstColNonGras"/>
              <w:rPr>
                <w:lang w:val="fr-FR"/>
              </w:rPr>
            </w:pPr>
            <w:r>
              <w:rPr>
                <w:lang w:val="fr-FR"/>
              </w:rPr>
              <w:t>NEC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08E652C"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1CC236D" w14:textId="77777777">
            <w:pPr>
              <w:pStyle w:val="Tab3MiddleColNonGras"/>
              <w:rPr>
                <w:lang w:val="fr-FR"/>
              </w:rPr>
            </w:pPr>
            <w:r>
              <w:rPr>
                <w:lang w:val="fr-FR"/>
              </w:rPr>
              <w:t>5 800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F77C949" w14:textId="77777777">
            <w:pPr>
              <w:pStyle w:val="Tab3MiddleColNonGras"/>
              <w:rPr>
                <w:lang w:val="fr-FR"/>
              </w:rPr>
            </w:pPr>
            <w:r>
              <w:rPr>
                <w:lang w:val="fr-FR"/>
              </w:rPr>
              <w:t>169 408,44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171FAAB" w14:textId="77777777">
            <w:pPr>
              <w:pStyle w:val="Tab3LastColNonGras"/>
              <w:rPr>
                <w:lang w:val="fr-FR"/>
              </w:rPr>
            </w:pPr>
            <w:r>
              <w:rPr>
                <w:lang w:val="fr-FR"/>
              </w:rPr>
              <w:t>0,05</w:t>
            </w:r>
          </w:p>
        </w:tc>
      </w:tr>
      <w:tr w14:paraId="65BFA18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AE93CC9" w14:textId="77777777">
            <w:pPr>
              <w:pStyle w:val="Tab3FirstColNonGras"/>
              <w:rPr>
                <w:lang w:val="fr-FR"/>
              </w:rPr>
            </w:pPr>
            <w:r>
              <w:rPr>
                <w:lang w:val="fr-FR"/>
              </w:rPr>
              <w:t>NOMURA RESEARCH INSTITUTE LT</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0CDA77C"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C9F3049" w14:textId="77777777">
            <w:pPr>
              <w:pStyle w:val="Tab3MiddleColNonGras"/>
              <w:rPr>
                <w:lang w:val="fr-FR"/>
              </w:rPr>
            </w:pPr>
            <w:r>
              <w:rPr>
                <w:lang w:val="fr-FR"/>
              </w:rPr>
              <w:t>2 000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20C6479" w14:textId="77777777">
            <w:pPr>
              <w:pStyle w:val="Tab3MiddleColNonGras"/>
              <w:rPr>
                <w:lang w:val="fr-FR"/>
              </w:rPr>
            </w:pPr>
            <w:r>
              <w:rPr>
                <w:lang w:val="fr-FR"/>
              </w:rPr>
              <w:t>80 072,01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077247D" w14:textId="77777777">
            <w:pPr>
              <w:pStyle w:val="Tab3LastColNonGras"/>
              <w:rPr>
                <w:lang w:val="fr-FR"/>
              </w:rPr>
            </w:pPr>
            <w:r>
              <w:rPr>
                <w:lang w:val="fr-FR"/>
              </w:rPr>
              <w:t>0,02</w:t>
            </w:r>
          </w:p>
        </w:tc>
      </w:tr>
    </w:tbl>
    <w:p w:rsidR="001F4AEE" w14:paraId="03A4D240" w14:textId="77777777">
      <w:pPr>
        <w:sectPr>
          <w:headerReference w:type="default" r:id="rId58"/>
          <w:footerReference w:type="default" r:id="rId59"/>
          <w:pgSz w:w="11900" w:h="16840"/>
          <w:pgMar w:top="2154" w:right="1134" w:bottom="1134" w:left="1134" w:header="400" w:footer="400" w:gutter="0"/>
          <w:cols w:space="720"/>
        </w:sectPr>
      </w:pPr>
    </w:p>
    <w:p w:rsidR="001F4AEE" w14:paraId="65228DAE" w14:textId="77777777">
      <w:pPr>
        <w:spacing w:line="30" w:lineRule="exact"/>
        <w:rPr>
          <w:sz w:val="3"/>
        </w:rPr>
      </w:pPr>
    </w:p>
    <w:p w:rsidR="001F4AEE" w14:paraId="79A24165" w14:textId="77777777">
      <w:pPr>
        <w:pStyle w:val="TechnicalBookmark"/>
        <w:rPr>
          <w:lang w:val="fr-FR"/>
        </w:rPr>
      </w:pPr>
      <w:r>
        <w:rPr>
          <w:lang w:val="fr-FR"/>
        </w:rPr>
        <w:fldChar w:fldCharType="begin"/>
      </w:r>
      <w:r>
        <w:rPr>
          <w:lang w:val="fr-FR"/>
        </w:rPr>
        <w:instrText xml:space="preserve"> SET E5C9831A8D9CC1249D27ED14F6B89445 "" </w:instrText>
      </w:r>
      <w:r>
        <w:rPr>
          <w:lang w:val="fr-FR"/>
        </w:rPr>
        <w:fldChar w:fldCharType="separate"/>
      </w:r>
      <w:bookmarkStart w:id="114" w:name="E5C9831A8D9CC1249D27ED14F6B89445"/>
      <w:bookmarkEnd w:id="114"/>
      <w:r>
        <w:rPr>
          <w:lang w:val="fr-FR"/>
        </w:rPr>
        <w:fldChar w:fldCharType="end"/>
      </w:r>
    </w:p>
    <w:p w:rsidR="001F4AEE" w14:paraId="60B3C330" w14:textId="77777777">
      <w:pPr>
        <w:pStyle w:val="H2"/>
        <w:rPr>
          <w:lang w:val="fr-FR"/>
        </w:rPr>
      </w:pPr>
      <w:r>
        <w:rPr>
          <w:lang w:val="fr-FR"/>
        </w:rPr>
        <w:t xml:space="preserve">Inventaire des éléments de bilan </w:t>
      </w:r>
    </w:p>
    <w:p w:rsidR="001F4AEE" w14:paraId="6B54003F" w14:textId="77777777">
      <w:pPr>
        <w:pStyle w:val="NoRefToc"/>
        <w:rPr>
          <w:lang w:val="fr-FR"/>
        </w:rPr>
      </w:pPr>
    </w:p>
    <w:p w:rsidR="001F4AEE" w14:paraId="109A5BBD" w14:textId="77777777">
      <w:pPr>
        <w:pStyle w:val="TechnicalBookmark"/>
        <w:rPr>
          <w:lang w:val="fr-FR"/>
        </w:rPr>
      </w:pPr>
      <w:r>
        <w:rPr>
          <w:lang w:val="fr-FR"/>
        </w:rPr>
        <w:fldChar w:fldCharType="begin"/>
      </w:r>
      <w:r>
        <w:rPr>
          <w:lang w:val="fr-FR"/>
        </w:rPr>
        <w:instrText xml:space="preserve"> SET 7A755BCF2453431E16B85CD607C20C5D "" </w:instrText>
      </w:r>
      <w:r>
        <w:rPr>
          <w:lang w:val="fr-FR"/>
        </w:rPr>
        <w:fldChar w:fldCharType="separate"/>
      </w:r>
      <w:bookmarkStart w:id="115" w:name="7A755BCF2453431E16B85CD607C20C5D"/>
      <w:bookmarkEnd w:id="115"/>
      <w:r>
        <w:rPr>
          <w:lang w:val="fr-FR"/>
        </w:rPr>
        <w:fldChar w:fldCharType="end"/>
      </w:r>
    </w:p>
    <w:p w:rsidR="001F4AEE" w14:paraId="0CBE160A"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56579FEB"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73602FD5"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4C17F30B"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4DD3BFCB" w14:textId="77777777">
            <w:pPr>
              <w:pStyle w:val="EnteteTabMiddleColBordure"/>
              <w:spacing w:line="184" w:lineRule="exact"/>
              <w:rPr>
                <w:lang w:val="fr-FR"/>
              </w:rPr>
            </w:pPr>
            <w:r>
              <w:rPr>
                <w:lang w:val="fr-FR"/>
              </w:rPr>
              <w:t>Quantité ou</w:t>
            </w:r>
          </w:p>
          <w:p w:rsidR="001F4AEE" w14:paraId="4F719D92"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4B6C72D"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0303DAB9" w14:textId="77777777">
            <w:pPr>
              <w:pStyle w:val="EnteteTabLastColBordure"/>
              <w:spacing w:line="184" w:lineRule="exact"/>
              <w:rPr>
                <w:lang w:val="fr-FR"/>
              </w:rPr>
            </w:pPr>
            <w:r>
              <w:rPr>
                <w:lang w:val="fr-FR"/>
              </w:rPr>
              <w:t>% Actif</w:t>
            </w:r>
          </w:p>
          <w:p w:rsidR="001F4AEE" w14:paraId="45EAA8B9" w14:textId="77777777">
            <w:pPr>
              <w:pStyle w:val="EnteteTabLastColBordure"/>
              <w:spacing w:line="184" w:lineRule="exact"/>
              <w:rPr>
                <w:lang w:val="fr-FR"/>
              </w:rPr>
            </w:pPr>
            <w:r>
              <w:rPr>
                <w:lang w:val="fr-FR"/>
              </w:rPr>
              <w:t>Net</w:t>
            </w:r>
          </w:p>
        </w:tc>
      </w:tr>
      <w:tr w14:paraId="7BCA42E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A9EDBA0" w14:textId="77777777">
            <w:pPr>
              <w:pStyle w:val="Tab3FirstColNonGras"/>
              <w:rPr>
                <w:lang w:val="fr-FR"/>
              </w:rPr>
            </w:pPr>
            <w:r>
              <w:rPr>
                <w:lang w:val="fr-FR"/>
              </w:rPr>
              <w:t>NTT DATA GROUP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B5C807D"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6B9FC85" w14:textId="77777777">
            <w:pPr>
              <w:pStyle w:val="Tab3MiddleColNonGras"/>
              <w:rPr>
                <w:lang w:val="fr-FR"/>
              </w:rPr>
            </w:pPr>
            <w:r>
              <w:rPr>
                <w:lang w:val="fr-FR"/>
              </w:rPr>
              <w:t>3 100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819749A" w14:textId="77777777">
            <w:pPr>
              <w:pStyle w:val="Tab3MiddleColNonGras"/>
              <w:rPr>
                <w:lang w:val="fr-FR"/>
              </w:rPr>
            </w:pPr>
            <w:r>
              <w:rPr>
                <w:lang w:val="fr-FR"/>
              </w:rPr>
              <w:t>85 824,37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39AFC34" w14:textId="77777777">
            <w:pPr>
              <w:pStyle w:val="Tab3LastColNonGras"/>
              <w:rPr>
                <w:lang w:val="fr-FR"/>
              </w:rPr>
            </w:pPr>
            <w:r>
              <w:rPr>
                <w:lang w:val="fr-FR"/>
              </w:rPr>
              <w:t>0,02</w:t>
            </w:r>
          </w:p>
        </w:tc>
      </w:tr>
      <w:tr w14:paraId="3AA3F76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976C82F" w14:textId="77777777">
            <w:pPr>
              <w:pStyle w:val="Tab3FirstColNonGras"/>
              <w:rPr>
                <w:lang w:val="fr-FR"/>
              </w:rPr>
            </w:pPr>
            <w:r>
              <w:rPr>
                <w:lang w:val="fr-FR"/>
              </w:rPr>
              <w:t>OBIC CO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CEA6233"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6C64865" w14:textId="77777777">
            <w:pPr>
              <w:pStyle w:val="Tab3MiddleColNonGras"/>
              <w:rPr>
                <w:lang w:val="fr-FR"/>
              </w:rPr>
            </w:pPr>
            <w:r>
              <w:rPr>
                <w:lang w:val="fr-FR"/>
              </w:rPr>
              <w:t>2 000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FD42CEC" w14:textId="77777777">
            <w:pPr>
              <w:pStyle w:val="Tab3MiddleColNonGras"/>
              <w:rPr>
                <w:lang w:val="fr-FR"/>
              </w:rPr>
            </w:pPr>
            <w:r>
              <w:rPr>
                <w:lang w:val="fr-FR"/>
              </w:rPr>
              <w:t>77 690,48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9CC3898" w14:textId="77777777">
            <w:pPr>
              <w:pStyle w:val="Tab3LastColNonGras"/>
              <w:rPr>
                <w:lang w:val="fr-FR"/>
              </w:rPr>
            </w:pPr>
            <w:r>
              <w:rPr>
                <w:lang w:val="fr-FR"/>
              </w:rPr>
              <w:t>0,02</w:t>
            </w:r>
          </w:p>
        </w:tc>
      </w:tr>
      <w:tr w14:paraId="6535074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F5748F7" w14:textId="77777777">
            <w:pPr>
              <w:pStyle w:val="Tab3FirstColNonGras"/>
              <w:rPr>
                <w:lang w:val="fr-FR"/>
              </w:rPr>
            </w:pPr>
            <w:r>
              <w:rPr>
                <w:lang w:val="fr-FR"/>
              </w:rPr>
              <w:t>OTSUKA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297130F"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8C2EC6F" w14:textId="77777777">
            <w:pPr>
              <w:pStyle w:val="Tab3MiddleColNonGras"/>
              <w:rPr>
                <w:lang w:val="fr-FR"/>
              </w:rPr>
            </w:pPr>
            <w:r>
              <w:rPr>
                <w:lang w:val="fr-FR"/>
              </w:rPr>
              <w:t>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8F52AD3" w14:textId="77777777">
            <w:pPr>
              <w:pStyle w:val="Tab3MiddleColNonGras"/>
              <w:rPr>
                <w:lang w:val="fr-FR"/>
              </w:rPr>
            </w:pPr>
            <w:r>
              <w:rPr>
                <w:lang w:val="fr-FR"/>
              </w:rPr>
              <w:t>18 296,58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078CBF2" w14:textId="77777777">
            <w:pPr>
              <w:pStyle w:val="Tab3LastColNonGras"/>
              <w:rPr>
                <w:lang w:val="fr-FR"/>
              </w:rPr>
            </w:pPr>
            <w:r>
              <w:rPr>
                <w:lang w:val="fr-FR"/>
              </w:rPr>
              <w:t>0,01</w:t>
            </w:r>
          </w:p>
        </w:tc>
      </w:tr>
      <w:tr w14:paraId="4A556B9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E666067" w14:textId="77777777">
            <w:pPr>
              <w:pStyle w:val="Tab3FirstColNonGras"/>
              <w:rPr>
                <w:lang w:val="fr-FR"/>
              </w:rPr>
            </w:pPr>
            <w:r>
              <w:rPr>
                <w:lang w:val="fr-FR"/>
              </w:rPr>
              <w:t>PAYPAL HOLDINGS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88D2F2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B57B06E" w14:textId="77777777">
            <w:pPr>
              <w:pStyle w:val="Tab3MiddleColNonGras"/>
              <w:rPr>
                <w:lang w:val="fr-FR"/>
              </w:rPr>
            </w:pPr>
            <w:r>
              <w:rPr>
                <w:lang w:val="fr-FR"/>
              </w:rPr>
              <w:t>4 783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E185922" w14:textId="77777777">
            <w:pPr>
              <w:pStyle w:val="Tab3MiddleColNonGras"/>
              <w:rPr>
                <w:lang w:val="fr-FR"/>
              </w:rPr>
            </w:pPr>
            <w:r>
              <w:rPr>
                <w:lang w:val="fr-FR"/>
              </w:rPr>
              <w:t>355 472,56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72039C8" w14:textId="77777777">
            <w:pPr>
              <w:pStyle w:val="Tab3LastColNonGras"/>
              <w:rPr>
                <w:lang w:val="fr-FR"/>
              </w:rPr>
            </w:pPr>
            <w:r>
              <w:rPr>
                <w:lang w:val="fr-FR"/>
              </w:rPr>
              <w:t>0,10</w:t>
            </w:r>
          </w:p>
        </w:tc>
      </w:tr>
      <w:tr w14:paraId="2B1B1A1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A0E94EB" w14:textId="77777777">
            <w:pPr>
              <w:pStyle w:val="Tab3FirstColNonGras"/>
              <w:rPr>
                <w:lang w:val="fr-FR"/>
              </w:rPr>
            </w:pPr>
            <w:r>
              <w:rPr>
                <w:lang w:val="fr-FR"/>
              </w:rPr>
              <w:t>REDDIT INC-CL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C73D34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27C8DA6" w14:textId="77777777">
            <w:pPr>
              <w:pStyle w:val="Tab3MiddleColNonGras"/>
              <w:rPr>
                <w:lang w:val="fr-FR"/>
              </w:rPr>
            </w:pPr>
            <w:r>
              <w:rPr>
                <w:lang w:val="fr-FR"/>
              </w:rPr>
              <w:t>341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F53111E" w14:textId="77777777">
            <w:pPr>
              <w:pStyle w:val="Tab3MiddleColNonGras"/>
              <w:rPr>
                <w:lang w:val="fr-FR"/>
              </w:rPr>
            </w:pPr>
            <w:r>
              <w:rPr>
                <w:lang w:val="fr-FR"/>
              </w:rPr>
              <w:t>51 344,37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0C47076" w14:textId="77777777">
            <w:pPr>
              <w:pStyle w:val="Tab3LastColNonGras"/>
              <w:rPr>
                <w:lang w:val="fr-FR"/>
              </w:rPr>
            </w:pPr>
            <w:r>
              <w:rPr>
                <w:lang w:val="fr-FR"/>
              </w:rPr>
              <w:t>0,01</w:t>
            </w:r>
          </w:p>
        </w:tc>
      </w:tr>
      <w:tr w14:paraId="7BB70CA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9C39E52" w14:textId="77777777">
            <w:pPr>
              <w:pStyle w:val="Tab3FirstColNonGras"/>
              <w:rPr>
                <w:lang w:val="fr-FR"/>
              </w:rPr>
            </w:pPr>
            <w:r>
              <w:rPr>
                <w:lang w:val="fr-FR"/>
              </w:rPr>
              <w:t>ROBINHOOD MARKETS INC -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09D86B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6459C34" w14:textId="77777777">
            <w:pPr>
              <w:pStyle w:val="Tab3MiddleColNonGras"/>
              <w:rPr>
                <w:lang w:val="fr-FR"/>
              </w:rPr>
            </w:pPr>
            <w:r>
              <w:rPr>
                <w:lang w:val="fr-FR"/>
              </w:rPr>
              <w:t>3 601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78657A0" w14:textId="77777777">
            <w:pPr>
              <w:pStyle w:val="Tab3MiddleColNonGras"/>
              <w:rPr>
                <w:lang w:val="fr-FR"/>
              </w:rPr>
            </w:pPr>
            <w:r>
              <w:rPr>
                <w:lang w:val="fr-FR"/>
              </w:rPr>
              <w:t>337 161,63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7DC5BB6" w14:textId="77777777">
            <w:pPr>
              <w:pStyle w:val="Tab3LastColNonGras"/>
              <w:rPr>
                <w:lang w:val="fr-FR"/>
              </w:rPr>
            </w:pPr>
            <w:r>
              <w:rPr>
                <w:lang w:val="fr-FR"/>
              </w:rPr>
              <w:t>0,10</w:t>
            </w:r>
          </w:p>
        </w:tc>
      </w:tr>
      <w:tr w14:paraId="0506E76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86CB9E8" w14:textId="77777777">
            <w:pPr>
              <w:pStyle w:val="Tab3FirstColNonGras"/>
              <w:rPr>
                <w:lang w:val="fr-FR"/>
              </w:rPr>
            </w:pPr>
            <w:r>
              <w:rPr>
                <w:lang w:val="fr-FR"/>
              </w:rPr>
              <w:t>SAMSARA INC-CL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E24DA5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6D81185" w14:textId="77777777">
            <w:pPr>
              <w:pStyle w:val="Tab3MiddleColNonGras"/>
              <w:rPr>
                <w:lang w:val="fr-FR"/>
              </w:rPr>
            </w:pPr>
            <w:r>
              <w:rPr>
                <w:lang w:val="fr-FR"/>
              </w:rPr>
              <w:t>1 524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A24E8B8" w14:textId="77777777">
            <w:pPr>
              <w:pStyle w:val="Tab3MiddleColNonGras"/>
              <w:rPr>
                <w:lang w:val="fr-FR"/>
              </w:rPr>
            </w:pPr>
            <w:r>
              <w:rPr>
                <w:lang w:val="fr-FR"/>
              </w:rPr>
              <w:t>60 624,72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500A6AD" w14:textId="77777777">
            <w:pPr>
              <w:pStyle w:val="Tab3LastColNonGras"/>
              <w:rPr>
                <w:lang w:val="fr-FR"/>
              </w:rPr>
            </w:pPr>
            <w:r>
              <w:rPr>
                <w:lang w:val="fr-FR"/>
              </w:rPr>
              <w:t>0,02</w:t>
            </w:r>
          </w:p>
        </w:tc>
      </w:tr>
      <w:tr w14:paraId="081A0059"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4E943B8" w14:textId="77777777">
            <w:pPr>
              <w:pStyle w:val="Tab3FirstColNonGras"/>
              <w:rPr>
                <w:lang w:val="fr-FR"/>
              </w:rPr>
            </w:pPr>
            <w:r>
              <w:rPr>
                <w:lang w:val="fr-FR"/>
              </w:rPr>
              <w:t>SHOPIFY INC - 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3D7E51A"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C7CE8A3" w14:textId="77777777">
            <w:pPr>
              <w:pStyle w:val="Tab3MiddleColNonGras"/>
              <w:rPr>
                <w:lang w:val="fr-FR"/>
              </w:rPr>
            </w:pPr>
            <w:r>
              <w:rPr>
                <w:lang w:val="fr-FR"/>
              </w:rPr>
              <w:t>6 190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EF5BF62" w14:textId="77777777">
            <w:pPr>
              <w:pStyle w:val="Tab3MiddleColNonGras"/>
              <w:rPr>
                <w:lang w:val="fr-FR"/>
              </w:rPr>
            </w:pPr>
            <w:r>
              <w:rPr>
                <w:lang w:val="fr-FR"/>
              </w:rPr>
              <w:t>712 482,36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4BBEA58" w14:textId="77777777">
            <w:pPr>
              <w:pStyle w:val="Tab3LastColNonGras"/>
              <w:rPr>
                <w:lang w:val="fr-FR"/>
              </w:rPr>
            </w:pPr>
            <w:r>
              <w:rPr>
                <w:lang w:val="fr-FR"/>
              </w:rPr>
              <w:t>0,20</w:t>
            </w:r>
          </w:p>
        </w:tc>
      </w:tr>
      <w:tr w14:paraId="271A87D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88C09A8" w14:textId="77777777">
            <w:pPr>
              <w:pStyle w:val="Tab3FirstColNonGras"/>
              <w:rPr>
                <w:lang w:val="fr-FR"/>
              </w:rPr>
            </w:pPr>
            <w:r>
              <w:rPr>
                <w:lang w:val="fr-FR"/>
              </w:rPr>
              <w:t>SNOWFLAKE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F5B5C2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EEA3F9F" w14:textId="77777777">
            <w:pPr>
              <w:pStyle w:val="Tab3MiddleColNonGras"/>
              <w:rPr>
                <w:lang w:val="fr-FR"/>
              </w:rPr>
            </w:pPr>
            <w:r>
              <w:rPr>
                <w:lang w:val="fr-FR"/>
              </w:rPr>
              <w:t>1 567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B97843E" w14:textId="77777777">
            <w:pPr>
              <w:pStyle w:val="Tab3MiddleColNonGras"/>
              <w:rPr>
                <w:lang w:val="fr-FR"/>
              </w:rPr>
            </w:pPr>
            <w:r>
              <w:rPr>
                <w:lang w:val="fr-FR"/>
              </w:rPr>
              <w:t>350 647,59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EB8EAF5" w14:textId="77777777">
            <w:pPr>
              <w:pStyle w:val="Tab3LastColNonGras"/>
              <w:rPr>
                <w:lang w:val="fr-FR"/>
              </w:rPr>
            </w:pPr>
            <w:r>
              <w:rPr>
                <w:lang w:val="fr-FR"/>
              </w:rPr>
              <w:t>0,10</w:t>
            </w:r>
          </w:p>
        </w:tc>
      </w:tr>
      <w:tr w14:paraId="520888B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FD9AD27" w14:textId="77777777">
            <w:pPr>
              <w:pStyle w:val="Tab3FirstColNonGras"/>
              <w:rPr>
                <w:lang w:val="fr-FR"/>
              </w:rPr>
            </w:pPr>
            <w:r>
              <w:rPr>
                <w:lang w:val="fr-FR"/>
              </w:rPr>
              <w:t>TIS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CD4828B"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FA0CC04" w14:textId="77777777">
            <w:pPr>
              <w:pStyle w:val="Tab3MiddleColNonGras"/>
              <w:rPr>
                <w:lang w:val="fr-FR"/>
              </w:rPr>
            </w:pPr>
            <w:r>
              <w:rPr>
                <w:lang w:val="fr-FR"/>
              </w:rPr>
              <w:t>3 100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6BF6DCC" w14:textId="77777777">
            <w:pPr>
              <w:pStyle w:val="Tab3MiddleColNonGras"/>
              <w:rPr>
                <w:lang w:val="fr-FR"/>
              </w:rPr>
            </w:pPr>
            <w:r>
              <w:rPr>
                <w:lang w:val="fr-FR"/>
              </w:rPr>
              <w:t>103 830,53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8E41BBA" w14:textId="77777777">
            <w:pPr>
              <w:pStyle w:val="Tab3LastColNonGras"/>
              <w:rPr>
                <w:lang w:val="fr-FR"/>
              </w:rPr>
            </w:pPr>
            <w:r>
              <w:rPr>
                <w:lang w:val="fr-FR"/>
              </w:rPr>
              <w:t>0,03</w:t>
            </w:r>
          </w:p>
        </w:tc>
      </w:tr>
      <w:tr w14:paraId="145DC22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C71754D" w14:textId="77777777">
            <w:pPr>
              <w:pStyle w:val="Tab3FirstColNonGras"/>
              <w:rPr>
                <w:lang w:val="fr-FR"/>
              </w:rPr>
            </w:pPr>
            <w:r>
              <w:rPr>
                <w:lang w:val="fr-FR"/>
              </w:rPr>
              <w:t>TWILIO INC -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7ADD3E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2A62E77" w14:textId="77777777">
            <w:pPr>
              <w:pStyle w:val="Tab3MiddleColNonGras"/>
              <w:rPr>
                <w:lang w:val="fr-FR"/>
              </w:rPr>
            </w:pPr>
            <w:r>
              <w:rPr>
                <w:lang w:val="fr-FR"/>
              </w:rPr>
              <w:t>656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C5148E6" w14:textId="77777777">
            <w:pPr>
              <w:pStyle w:val="Tab3MiddleColNonGras"/>
              <w:rPr>
                <w:lang w:val="fr-FR"/>
              </w:rPr>
            </w:pPr>
            <w:r>
              <w:rPr>
                <w:lang w:val="fr-FR"/>
              </w:rPr>
              <w:t>81 580,16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56665D8" w14:textId="77777777">
            <w:pPr>
              <w:pStyle w:val="Tab3LastColNonGras"/>
              <w:rPr>
                <w:lang w:val="fr-FR"/>
              </w:rPr>
            </w:pPr>
            <w:r>
              <w:rPr>
                <w:lang w:val="fr-FR"/>
              </w:rPr>
              <w:t>0,02</w:t>
            </w:r>
          </w:p>
        </w:tc>
      </w:tr>
      <w:tr w14:paraId="22147A7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BECF102" w14:textId="77777777">
            <w:pPr>
              <w:pStyle w:val="Tab3FirstColNonGras"/>
              <w:rPr>
                <w:lang w:val="fr-FR"/>
              </w:rPr>
            </w:pPr>
            <w:r>
              <w:rPr>
                <w:lang w:val="fr-FR"/>
              </w:rPr>
              <w:t>UBER TECHNOLOGIES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BE6BA1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D7DA83F" w14:textId="77777777">
            <w:pPr>
              <w:pStyle w:val="Tab3MiddleColNonGras"/>
              <w:rPr>
                <w:lang w:val="fr-FR"/>
              </w:rPr>
            </w:pPr>
            <w:r>
              <w:rPr>
                <w:lang w:val="fr-FR"/>
              </w:rPr>
              <w:t>17 607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8AC5307" w14:textId="77777777">
            <w:pPr>
              <w:pStyle w:val="Tab3MiddleColNonGras"/>
              <w:rPr>
                <w:lang w:val="fr-FR"/>
              </w:rPr>
            </w:pPr>
            <w:r>
              <w:rPr>
                <w:lang w:val="fr-FR"/>
              </w:rPr>
              <w:t>1 642 733,10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5F9FABA" w14:textId="77777777">
            <w:pPr>
              <w:pStyle w:val="Tab3LastColNonGras"/>
              <w:rPr>
                <w:lang w:val="fr-FR"/>
              </w:rPr>
            </w:pPr>
            <w:r>
              <w:rPr>
                <w:lang w:val="fr-FR"/>
              </w:rPr>
              <w:t>0,50</w:t>
            </w:r>
          </w:p>
        </w:tc>
      </w:tr>
      <w:tr w14:paraId="7EE5063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06AB6A0C" w14:textId="77777777">
            <w:pPr>
              <w:pStyle w:val="Tab3FirstColNonGras"/>
              <w:rPr>
                <w:lang w:val="en-US"/>
              </w:rPr>
            </w:pPr>
            <w:r w:rsidRPr="00D61EB0">
              <w:rPr>
                <w:lang w:val="en-US"/>
              </w:rPr>
              <w:t>VEEVA SYSTEMS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9100C0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7AA2ED3" w14:textId="77777777">
            <w:pPr>
              <w:pStyle w:val="Tab3MiddleColNonGras"/>
              <w:rPr>
                <w:lang w:val="fr-FR"/>
              </w:rPr>
            </w:pPr>
            <w:r>
              <w:rPr>
                <w:lang w:val="fr-FR"/>
              </w:rPr>
              <w:t>846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6D33D2D" w14:textId="77777777">
            <w:pPr>
              <w:pStyle w:val="Tab3MiddleColNonGras"/>
              <w:rPr>
                <w:lang w:val="fr-FR"/>
              </w:rPr>
            </w:pPr>
            <w:r>
              <w:rPr>
                <w:lang w:val="fr-FR"/>
              </w:rPr>
              <w:t>243 631,08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0DED02D" w14:textId="77777777">
            <w:pPr>
              <w:pStyle w:val="Tab3LastColNonGras"/>
              <w:rPr>
                <w:lang w:val="fr-FR"/>
              </w:rPr>
            </w:pPr>
            <w:r>
              <w:rPr>
                <w:lang w:val="fr-FR"/>
              </w:rPr>
              <w:t>0,07</w:t>
            </w:r>
          </w:p>
        </w:tc>
      </w:tr>
      <w:tr w14:paraId="760228F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32D65B2" w14:textId="77777777">
            <w:pPr>
              <w:pStyle w:val="Tab3FirstColNonGras"/>
              <w:rPr>
                <w:lang w:val="fr-FR"/>
              </w:rPr>
            </w:pPr>
            <w:r>
              <w:rPr>
                <w:lang w:val="fr-FR"/>
              </w:rPr>
              <w:t>VERISIGN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FA335B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35024A3" w14:textId="77777777">
            <w:pPr>
              <w:pStyle w:val="Tab3MiddleColNonGras"/>
              <w:rPr>
                <w:lang w:val="fr-FR"/>
              </w:rPr>
            </w:pPr>
            <w:r>
              <w:rPr>
                <w:lang w:val="fr-FR"/>
              </w:rPr>
              <w:t>362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49A70F0" w14:textId="77777777">
            <w:pPr>
              <w:pStyle w:val="Tab3MiddleColNonGras"/>
              <w:rPr>
                <w:lang w:val="fr-FR"/>
              </w:rPr>
            </w:pPr>
            <w:r>
              <w:rPr>
                <w:lang w:val="fr-FR"/>
              </w:rPr>
              <w:t>104 545,60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3EB5400" w14:textId="77777777">
            <w:pPr>
              <w:pStyle w:val="Tab3LastColNonGras"/>
              <w:rPr>
                <w:lang w:val="fr-FR"/>
              </w:rPr>
            </w:pPr>
            <w:r>
              <w:rPr>
                <w:lang w:val="fr-FR"/>
              </w:rPr>
              <w:t>0,03</w:t>
            </w:r>
          </w:p>
        </w:tc>
      </w:tr>
      <w:tr w14:paraId="43C5F53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BE96E15" w14:textId="77777777">
            <w:pPr>
              <w:pStyle w:val="Tab3FirstColNonGras"/>
              <w:rPr>
                <w:lang w:val="fr-FR"/>
              </w:rPr>
            </w:pPr>
            <w:r>
              <w:rPr>
                <w:lang w:val="fr-FR"/>
              </w:rPr>
              <w:t>WIX.COM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530EEE0"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148D9A5" w14:textId="77777777">
            <w:pPr>
              <w:pStyle w:val="Tab3MiddleColNonGras"/>
              <w:rPr>
                <w:lang w:val="fr-FR"/>
              </w:rPr>
            </w:pPr>
            <w:r>
              <w:rPr>
                <w:lang w:val="fr-FR"/>
              </w:rPr>
              <w:t>287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2D279B6" w14:textId="77777777">
            <w:pPr>
              <w:pStyle w:val="Tab3MiddleColNonGras"/>
              <w:rPr>
                <w:lang w:val="fr-FR"/>
              </w:rPr>
            </w:pPr>
            <w:r>
              <w:rPr>
                <w:lang w:val="fr-FR"/>
              </w:rPr>
              <w:t>45 478,02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F94351B" w14:textId="77777777">
            <w:pPr>
              <w:pStyle w:val="Tab3LastColNonGras"/>
              <w:rPr>
                <w:lang w:val="fr-FR"/>
              </w:rPr>
            </w:pPr>
            <w:r>
              <w:rPr>
                <w:lang w:val="fr-FR"/>
              </w:rPr>
              <w:t>0,01</w:t>
            </w:r>
          </w:p>
        </w:tc>
      </w:tr>
      <w:tr w14:paraId="54524884"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C5C5556" w14:textId="77777777">
            <w:pPr>
              <w:pStyle w:val="Tab1FirstColGras"/>
              <w:rPr>
                <w:lang w:val="fr-FR"/>
              </w:rPr>
            </w:pPr>
            <w:r>
              <w:rPr>
                <w:lang w:val="fr-FR"/>
              </w:rPr>
              <w:t>SIIC spécialisées dans le crédit hypothécaire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1D427360"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950E705"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4FBB66AF" w14:textId="77777777">
            <w:pPr>
              <w:pStyle w:val="Tab1MiddleColGras"/>
              <w:rPr>
                <w:lang w:val="fr-FR"/>
              </w:rPr>
            </w:pPr>
            <w:r>
              <w:rPr>
                <w:lang w:val="fr-FR"/>
              </w:rPr>
              <w:t>530 187,52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35F266E" w14:textId="77777777">
            <w:pPr>
              <w:pStyle w:val="Tab1LastColGras"/>
              <w:rPr>
                <w:lang w:val="fr-FR"/>
              </w:rPr>
            </w:pPr>
            <w:r>
              <w:rPr>
                <w:lang w:val="fr-FR"/>
              </w:rPr>
              <w:t>0,15</w:t>
            </w:r>
          </w:p>
        </w:tc>
      </w:tr>
      <w:tr w14:paraId="21BA9D0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3B4C1C6" w14:textId="77777777">
            <w:pPr>
              <w:pStyle w:val="Tab3FirstColNonGras"/>
              <w:rPr>
                <w:lang w:val="fr-FR"/>
              </w:rPr>
            </w:pPr>
            <w:r>
              <w:rPr>
                <w:lang w:val="fr-FR"/>
              </w:rPr>
              <w:t>ANNALY CAPITAL MANAGEMENT IN</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87AB04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5C89A0A" w14:textId="77777777">
            <w:pPr>
              <w:pStyle w:val="Tab3MiddleColNonGras"/>
              <w:rPr>
                <w:lang w:val="fr-FR"/>
              </w:rPr>
            </w:pPr>
            <w:r>
              <w:rPr>
                <w:lang w:val="fr-FR"/>
              </w:rPr>
              <w:t>3 398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BCA1ED0" w14:textId="77777777">
            <w:pPr>
              <w:pStyle w:val="Tab3MiddleColNonGras"/>
              <w:rPr>
                <w:lang w:val="fr-FR"/>
              </w:rPr>
            </w:pPr>
            <w:r>
              <w:rPr>
                <w:lang w:val="fr-FR"/>
              </w:rPr>
              <w:t>63 950,36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40CFFB6" w14:textId="77777777">
            <w:pPr>
              <w:pStyle w:val="Tab3LastColNonGras"/>
              <w:rPr>
                <w:lang w:val="fr-FR"/>
              </w:rPr>
            </w:pPr>
            <w:r>
              <w:rPr>
                <w:lang w:val="fr-FR"/>
              </w:rPr>
              <w:t>0,02</w:t>
            </w:r>
          </w:p>
        </w:tc>
      </w:tr>
      <w:tr w14:paraId="504927C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F27841E" w14:textId="77777777">
            <w:pPr>
              <w:pStyle w:val="Tab3FirstColNonGras"/>
              <w:rPr>
                <w:lang w:val="fr-FR"/>
              </w:rPr>
            </w:pPr>
            <w:r>
              <w:rPr>
                <w:lang w:val="fr-FR"/>
              </w:rPr>
              <w:t>AON PLC/IRELAND-A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A04338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E3AEBCA" w14:textId="77777777">
            <w:pPr>
              <w:pStyle w:val="Tab3MiddleColNonGras"/>
              <w:rPr>
                <w:lang w:val="fr-FR"/>
              </w:rPr>
            </w:pPr>
            <w:r>
              <w:rPr>
                <w:lang w:val="fr-FR"/>
              </w:rPr>
              <w:t>958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5745B29" w14:textId="77777777">
            <w:pPr>
              <w:pStyle w:val="Tab3MiddleColNonGras"/>
              <w:rPr>
                <w:lang w:val="fr-FR"/>
              </w:rPr>
            </w:pPr>
            <w:r>
              <w:rPr>
                <w:lang w:val="fr-FR"/>
              </w:rPr>
              <w:t>341 776,08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BD9DEE7" w14:textId="77777777">
            <w:pPr>
              <w:pStyle w:val="Tab3LastColNonGras"/>
              <w:rPr>
                <w:lang w:val="fr-FR"/>
              </w:rPr>
            </w:pPr>
            <w:r>
              <w:rPr>
                <w:lang w:val="fr-FR"/>
              </w:rPr>
              <w:t>0,09</w:t>
            </w:r>
          </w:p>
        </w:tc>
      </w:tr>
      <w:tr w14:paraId="65CB24E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1889BD2" w14:textId="77777777">
            <w:pPr>
              <w:pStyle w:val="Tab3FirstColNonGras"/>
              <w:rPr>
                <w:lang w:val="fr-FR"/>
              </w:rPr>
            </w:pPr>
            <w:r>
              <w:rPr>
                <w:lang w:val="fr-FR"/>
              </w:rPr>
              <w:t>HEALTHPEAK PROPERTIES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0CE918C"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FB25B8F" w14:textId="77777777">
            <w:pPr>
              <w:pStyle w:val="Tab3MiddleColNonGras"/>
              <w:rPr>
                <w:lang w:val="fr-FR"/>
              </w:rPr>
            </w:pPr>
            <w:r>
              <w:rPr>
                <w:lang w:val="fr-FR"/>
              </w:rPr>
              <w:t>7 108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86F6386" w14:textId="77777777">
            <w:pPr>
              <w:pStyle w:val="Tab3MiddleColNonGras"/>
              <w:rPr>
                <w:lang w:val="fr-FR"/>
              </w:rPr>
            </w:pPr>
            <w:r>
              <w:rPr>
                <w:lang w:val="fr-FR"/>
              </w:rPr>
              <w:t>124 461,08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449FF12" w14:textId="77777777">
            <w:pPr>
              <w:pStyle w:val="Tab3LastColNonGras"/>
              <w:rPr>
                <w:lang w:val="fr-FR"/>
              </w:rPr>
            </w:pPr>
            <w:r>
              <w:rPr>
                <w:lang w:val="fr-FR"/>
              </w:rPr>
              <w:t>0,04</w:t>
            </w:r>
          </w:p>
        </w:tc>
      </w:tr>
      <w:tr w14:paraId="4D35631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3D530004" w14:textId="77777777">
            <w:pPr>
              <w:pStyle w:val="Tab1FirstColGras"/>
              <w:rPr>
                <w:lang w:val="fr-FR"/>
              </w:rPr>
            </w:pPr>
            <w:r>
              <w:rPr>
                <w:lang w:val="fr-FR"/>
              </w:rPr>
              <w:t>Sociétés commerciales et de distribution</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34347458"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5B60141B"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0FF03C3C" w14:textId="77777777">
            <w:pPr>
              <w:pStyle w:val="Tab1MiddleColGras"/>
              <w:rPr>
                <w:lang w:val="fr-FR"/>
              </w:rPr>
            </w:pPr>
            <w:r>
              <w:rPr>
                <w:lang w:val="fr-FR"/>
              </w:rPr>
              <w:t>1 955 185,79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E4376E8" w14:textId="77777777">
            <w:pPr>
              <w:pStyle w:val="Tab1LastColGras"/>
              <w:rPr>
                <w:lang w:val="fr-FR"/>
              </w:rPr>
            </w:pPr>
            <w:r>
              <w:rPr>
                <w:lang w:val="fr-FR"/>
              </w:rPr>
              <w:t>0,56</w:t>
            </w:r>
          </w:p>
        </w:tc>
      </w:tr>
      <w:tr w14:paraId="45EDA3A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4276E22" w14:textId="77777777">
            <w:pPr>
              <w:pStyle w:val="Tab3FirstColNonGras"/>
              <w:rPr>
                <w:lang w:val="fr-FR"/>
              </w:rPr>
            </w:pPr>
            <w:r>
              <w:rPr>
                <w:lang w:val="fr-FR"/>
              </w:rPr>
              <w:t>ASHTEAD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7B8BCBB"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52D3C7C" w14:textId="77777777">
            <w:pPr>
              <w:pStyle w:val="Tab3MiddleColNonGras"/>
              <w:rPr>
                <w:lang w:val="fr-FR"/>
              </w:rPr>
            </w:pPr>
            <w:r>
              <w:rPr>
                <w:lang w:val="fr-FR"/>
              </w:rPr>
              <w:t>4 887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3761FC4" w14:textId="77777777">
            <w:pPr>
              <w:pStyle w:val="Tab3MiddleColNonGras"/>
              <w:rPr>
                <w:lang w:val="fr-FR"/>
              </w:rPr>
            </w:pPr>
            <w:r>
              <w:rPr>
                <w:lang w:val="fr-FR"/>
              </w:rPr>
              <w:t>312 680,46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5AD56F3" w14:textId="77777777">
            <w:pPr>
              <w:pStyle w:val="Tab3LastColNonGras"/>
              <w:rPr>
                <w:lang w:val="fr-FR"/>
              </w:rPr>
            </w:pPr>
            <w:r>
              <w:rPr>
                <w:lang w:val="fr-FR"/>
              </w:rPr>
              <w:t>0,09</w:t>
            </w:r>
          </w:p>
        </w:tc>
      </w:tr>
      <w:tr w14:paraId="5FA3625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8AD50A2" w14:textId="77777777">
            <w:pPr>
              <w:pStyle w:val="Tab3FirstColNonGras"/>
              <w:rPr>
                <w:lang w:val="fr-FR"/>
              </w:rPr>
            </w:pPr>
            <w:r>
              <w:rPr>
                <w:lang w:val="fr-FR"/>
              </w:rPr>
              <w:t>BUNZL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BFB2B72"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DBE9107" w14:textId="77777777">
            <w:pPr>
              <w:pStyle w:val="Tab3MiddleColNonGras"/>
              <w:rPr>
                <w:lang w:val="fr-FR"/>
              </w:rPr>
            </w:pPr>
            <w:r>
              <w:rPr>
                <w:lang w:val="fr-FR"/>
              </w:rPr>
              <w:t>3 388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2CE8081" w14:textId="77777777">
            <w:pPr>
              <w:pStyle w:val="Tab3MiddleColNonGras"/>
              <w:rPr>
                <w:lang w:val="fr-FR"/>
              </w:rPr>
            </w:pPr>
            <w:r>
              <w:rPr>
                <w:lang w:val="fr-FR"/>
              </w:rPr>
              <w:t>107 712,45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72488DD" w14:textId="77777777">
            <w:pPr>
              <w:pStyle w:val="Tab3LastColNonGras"/>
              <w:rPr>
                <w:lang w:val="fr-FR"/>
              </w:rPr>
            </w:pPr>
            <w:r>
              <w:rPr>
                <w:lang w:val="fr-FR"/>
              </w:rPr>
              <w:t>0,03</w:t>
            </w:r>
          </w:p>
        </w:tc>
      </w:tr>
      <w:tr w14:paraId="70922C4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A01D06C" w14:textId="77777777">
            <w:pPr>
              <w:pStyle w:val="Tab3FirstColNonGras"/>
              <w:rPr>
                <w:lang w:val="fr-FR"/>
              </w:rPr>
            </w:pPr>
            <w:r>
              <w:rPr>
                <w:lang w:val="fr-FR"/>
              </w:rPr>
              <w:t>FASTENAL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2A5870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3397EBE" w14:textId="77777777">
            <w:pPr>
              <w:pStyle w:val="Tab3MiddleColNonGras"/>
              <w:rPr>
                <w:lang w:val="fr-FR"/>
              </w:rPr>
            </w:pPr>
            <w:r>
              <w:rPr>
                <w:lang w:val="fr-FR"/>
              </w:rPr>
              <w:t>11 810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FC01424" w14:textId="77777777">
            <w:pPr>
              <w:pStyle w:val="Tab3MiddleColNonGras"/>
              <w:rPr>
                <w:lang w:val="fr-FR"/>
              </w:rPr>
            </w:pPr>
            <w:r>
              <w:rPr>
                <w:lang w:val="fr-FR"/>
              </w:rPr>
              <w:t>496 020,00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6D1901B" w14:textId="77777777">
            <w:pPr>
              <w:pStyle w:val="Tab3LastColNonGras"/>
              <w:rPr>
                <w:lang w:val="fr-FR"/>
              </w:rPr>
            </w:pPr>
            <w:r>
              <w:rPr>
                <w:lang w:val="fr-FR"/>
              </w:rPr>
              <w:t>0,14</w:t>
            </w:r>
          </w:p>
        </w:tc>
      </w:tr>
      <w:tr w14:paraId="0A6E298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2B9A325" w14:textId="77777777">
            <w:pPr>
              <w:pStyle w:val="Tab3FirstColNonGras"/>
              <w:rPr>
                <w:lang w:val="fr-FR"/>
              </w:rPr>
            </w:pPr>
            <w:r>
              <w:rPr>
                <w:lang w:val="fr-FR"/>
              </w:rPr>
              <w:t>TOYOTA TSUSHO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6B485F4"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683AE5E" w14:textId="77777777">
            <w:pPr>
              <w:pStyle w:val="Tab3MiddleColNonGras"/>
              <w:rPr>
                <w:lang w:val="fr-FR"/>
              </w:rPr>
            </w:pPr>
            <w:r>
              <w:rPr>
                <w:lang w:val="fr-FR"/>
              </w:rPr>
              <w:t>1 600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4C525FD" w14:textId="77777777">
            <w:pPr>
              <w:pStyle w:val="Tab3MiddleColNonGras"/>
              <w:rPr>
                <w:lang w:val="fr-FR"/>
              </w:rPr>
            </w:pPr>
            <w:r>
              <w:rPr>
                <w:lang w:val="fr-FR"/>
              </w:rPr>
              <w:t>36 210,32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A4F2C95" w14:textId="77777777">
            <w:pPr>
              <w:pStyle w:val="Tab3LastColNonGras"/>
              <w:rPr>
                <w:lang w:val="fr-FR"/>
              </w:rPr>
            </w:pPr>
            <w:r>
              <w:rPr>
                <w:lang w:val="fr-FR"/>
              </w:rPr>
              <w:t>0,01</w:t>
            </w:r>
          </w:p>
        </w:tc>
      </w:tr>
      <w:tr w14:paraId="1A96F452"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F3BA18B" w14:textId="77777777">
            <w:pPr>
              <w:pStyle w:val="Tab3FirstColNonGras"/>
              <w:rPr>
                <w:lang w:val="fr-FR"/>
              </w:rPr>
            </w:pPr>
            <w:r>
              <w:rPr>
                <w:lang w:val="fr-FR"/>
              </w:rPr>
              <w:t>UNITED RENTALS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DB11D3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EBBEC3A" w14:textId="77777777">
            <w:pPr>
              <w:pStyle w:val="Tab3MiddleColNonGras"/>
              <w:rPr>
                <w:lang w:val="fr-FR"/>
              </w:rPr>
            </w:pPr>
            <w:r>
              <w:rPr>
                <w:lang w:val="fr-FR"/>
              </w:rPr>
              <w:t>766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A624E1A" w14:textId="77777777">
            <w:pPr>
              <w:pStyle w:val="Tab3MiddleColNonGras"/>
              <w:rPr>
                <w:lang w:val="fr-FR"/>
              </w:rPr>
            </w:pPr>
            <w:r>
              <w:rPr>
                <w:lang w:val="fr-FR"/>
              </w:rPr>
              <w:t>577 104,40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85B1DE7" w14:textId="77777777">
            <w:pPr>
              <w:pStyle w:val="Tab3LastColNonGras"/>
              <w:rPr>
                <w:lang w:val="fr-FR"/>
              </w:rPr>
            </w:pPr>
            <w:r>
              <w:rPr>
                <w:lang w:val="fr-FR"/>
              </w:rPr>
              <w:t>0,17</w:t>
            </w:r>
          </w:p>
        </w:tc>
      </w:tr>
      <w:tr w14:paraId="2285218E"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C27B99E" w14:textId="77777777">
            <w:pPr>
              <w:pStyle w:val="Tab3FirstColNonGras"/>
              <w:rPr>
                <w:lang w:val="fr-FR"/>
              </w:rPr>
            </w:pPr>
            <w:r>
              <w:rPr>
                <w:lang w:val="fr-FR"/>
              </w:rPr>
              <w:t>WW GRAINGER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B08B559"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821CDBA" w14:textId="77777777">
            <w:pPr>
              <w:pStyle w:val="Tab3MiddleColNonGras"/>
              <w:rPr>
                <w:lang w:val="fr-FR"/>
              </w:rPr>
            </w:pPr>
            <w:r>
              <w:rPr>
                <w:lang w:val="fr-FR"/>
              </w:rPr>
              <w:t>409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3DE53D3" w14:textId="77777777">
            <w:pPr>
              <w:pStyle w:val="Tab3MiddleColNonGras"/>
              <w:rPr>
                <w:lang w:val="fr-FR"/>
              </w:rPr>
            </w:pPr>
            <w:r>
              <w:rPr>
                <w:lang w:val="fr-FR"/>
              </w:rPr>
              <w:t>425 458,16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342BE23" w14:textId="77777777">
            <w:pPr>
              <w:pStyle w:val="Tab3LastColNonGras"/>
              <w:rPr>
                <w:lang w:val="fr-FR"/>
              </w:rPr>
            </w:pPr>
            <w:r>
              <w:rPr>
                <w:lang w:val="fr-FR"/>
              </w:rPr>
              <w:t>0,12</w:t>
            </w:r>
          </w:p>
        </w:tc>
      </w:tr>
      <w:tr w14:paraId="76AA6A4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6864FA15" w14:textId="77777777">
            <w:pPr>
              <w:pStyle w:val="Tab1FirstColGras"/>
              <w:rPr>
                <w:lang w:val="fr-FR"/>
              </w:rPr>
            </w:pPr>
            <w:r>
              <w:rPr>
                <w:lang w:val="fr-FR"/>
              </w:rPr>
              <w:t>Sociétés d'investissement immobilier (SII)</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04DAEBF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5D9C4C7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502F0963" w14:textId="77777777">
            <w:pPr>
              <w:pStyle w:val="Tab1MiddleColGras"/>
              <w:rPr>
                <w:lang w:val="fr-FR"/>
              </w:rPr>
            </w:pPr>
            <w:r>
              <w:rPr>
                <w:lang w:val="fr-FR"/>
              </w:rPr>
              <w:t>54 189,00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787FAB9" w14:textId="77777777">
            <w:pPr>
              <w:pStyle w:val="Tab1LastColGras"/>
              <w:rPr>
                <w:lang w:val="fr-FR"/>
              </w:rPr>
            </w:pPr>
            <w:r>
              <w:rPr>
                <w:lang w:val="fr-FR"/>
              </w:rPr>
              <w:t>0,02</w:t>
            </w:r>
          </w:p>
        </w:tc>
      </w:tr>
      <w:tr w14:paraId="29EA2DA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2BC85FC" w14:textId="77777777">
            <w:pPr>
              <w:pStyle w:val="Tab3FirstColNonGras"/>
              <w:rPr>
                <w:lang w:val="fr-FR"/>
              </w:rPr>
            </w:pPr>
            <w:r>
              <w:rPr>
                <w:lang w:val="fr-FR"/>
              </w:rPr>
              <w:t>VICINITY CENTRES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56CB3A5"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6348309" w14:textId="77777777">
            <w:pPr>
              <w:pStyle w:val="Tab3MiddleColNonGras"/>
              <w:rPr>
                <w:lang w:val="fr-FR"/>
              </w:rPr>
            </w:pPr>
            <w:r>
              <w:rPr>
                <w:lang w:val="fr-FR"/>
              </w:rPr>
              <w:t>33 476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7939C54" w14:textId="77777777">
            <w:pPr>
              <w:pStyle w:val="Tab3MiddleColNonGras"/>
              <w:rPr>
                <w:lang w:val="fr-FR"/>
              </w:rPr>
            </w:pPr>
            <w:r>
              <w:rPr>
                <w:lang w:val="fr-FR"/>
              </w:rPr>
              <w:t>54 189,00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4E114DC" w14:textId="77777777">
            <w:pPr>
              <w:pStyle w:val="Tab3LastColNonGras"/>
              <w:rPr>
                <w:lang w:val="fr-FR"/>
              </w:rPr>
            </w:pPr>
            <w:r>
              <w:rPr>
                <w:lang w:val="fr-FR"/>
              </w:rPr>
              <w:t>0,02</w:t>
            </w:r>
          </w:p>
        </w:tc>
      </w:tr>
      <w:tr w14:paraId="06880990"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7E6A242" w14:textId="77777777">
            <w:pPr>
              <w:pStyle w:val="Tab1FirstColGras"/>
              <w:rPr>
                <w:lang w:val="fr-FR"/>
              </w:rPr>
            </w:pPr>
            <w:r>
              <w:rPr>
                <w:lang w:val="fr-FR"/>
              </w:rPr>
              <w:t>Sociétés d'investissement immobilier cotées (SIIC)</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05EB8D1B"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3890F118"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2B7DE69C" w14:textId="77777777">
            <w:pPr>
              <w:pStyle w:val="Tab1MiddleColGras"/>
              <w:rPr>
                <w:lang w:val="fr-FR"/>
              </w:rPr>
            </w:pPr>
            <w:r>
              <w:rPr>
                <w:lang w:val="fr-FR"/>
              </w:rPr>
              <w:t>895 590,69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804ADB0" w14:textId="77777777">
            <w:pPr>
              <w:pStyle w:val="Tab1LastColGras"/>
              <w:rPr>
                <w:lang w:val="fr-FR"/>
              </w:rPr>
            </w:pPr>
            <w:r>
              <w:rPr>
                <w:lang w:val="fr-FR"/>
              </w:rPr>
              <w:t>0,26</w:t>
            </w:r>
          </w:p>
        </w:tc>
      </w:tr>
      <w:tr w14:paraId="10C93AA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BE39DE0" w14:textId="77777777">
            <w:pPr>
              <w:pStyle w:val="Tab3FirstColNonGras"/>
              <w:rPr>
                <w:lang w:val="fr-FR"/>
              </w:rPr>
            </w:pPr>
            <w:r>
              <w:rPr>
                <w:lang w:val="fr-FR"/>
              </w:rPr>
              <w:t>COVIVIO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62C559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DDB888B" w14:textId="77777777">
            <w:pPr>
              <w:pStyle w:val="Tab3MiddleColNonGras"/>
              <w:rPr>
                <w:lang w:val="fr-FR"/>
              </w:rPr>
            </w:pPr>
            <w:r>
              <w:rPr>
                <w:lang w:val="fr-FR"/>
              </w:rPr>
              <w:t>142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A1239C6" w14:textId="77777777">
            <w:pPr>
              <w:pStyle w:val="Tab3MiddleColNonGras"/>
              <w:rPr>
                <w:lang w:val="fr-FR"/>
              </w:rPr>
            </w:pPr>
            <w:r>
              <w:rPr>
                <w:lang w:val="fr-FR"/>
              </w:rPr>
              <w:t>8 926,07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83F55BE" w14:textId="77777777">
            <w:pPr>
              <w:pStyle w:val="Tab3LastColNonGras"/>
              <w:rPr>
                <w:lang w:val="fr-FR"/>
              </w:rPr>
            </w:pPr>
            <w:r>
              <w:rPr>
                <w:lang w:val="fr-FR"/>
              </w:rPr>
              <w:t>0,00</w:t>
            </w:r>
          </w:p>
        </w:tc>
      </w:tr>
      <w:tr w14:paraId="17CDF6E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2DD0B31" w14:textId="77777777">
            <w:pPr>
              <w:pStyle w:val="Tab3FirstColNonGras"/>
              <w:rPr>
                <w:lang w:val="fr-FR"/>
              </w:rPr>
            </w:pPr>
            <w:r>
              <w:rPr>
                <w:lang w:val="fr-FR"/>
              </w:rPr>
              <w:t>CROWN CASTLE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5031272"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1E7695F" w14:textId="77777777">
            <w:pPr>
              <w:pStyle w:val="Tab3MiddleColNonGras"/>
              <w:rPr>
                <w:lang w:val="fr-FR"/>
              </w:rPr>
            </w:pPr>
            <w:r>
              <w:rPr>
                <w:lang w:val="fr-FR"/>
              </w:rPr>
              <w:t>5 347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5C21FB4" w14:textId="77777777">
            <w:pPr>
              <w:pStyle w:val="Tab3MiddleColNonGras"/>
              <w:rPr>
                <w:lang w:val="fr-FR"/>
              </w:rPr>
            </w:pPr>
            <w:r>
              <w:rPr>
                <w:lang w:val="fr-FR"/>
              </w:rPr>
              <w:t>549 297,31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3470D17" w14:textId="77777777">
            <w:pPr>
              <w:pStyle w:val="Tab3LastColNonGras"/>
              <w:rPr>
                <w:lang w:val="fr-FR"/>
              </w:rPr>
            </w:pPr>
            <w:r>
              <w:rPr>
                <w:lang w:val="fr-FR"/>
              </w:rPr>
              <w:t>0,16</w:t>
            </w:r>
          </w:p>
        </w:tc>
      </w:tr>
      <w:tr w14:paraId="19A8CCB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3851989" w14:textId="77777777">
            <w:pPr>
              <w:pStyle w:val="Tab3FirstColNonGras"/>
              <w:rPr>
                <w:lang w:val="fr-FR"/>
              </w:rPr>
            </w:pPr>
            <w:r>
              <w:rPr>
                <w:lang w:val="fr-FR"/>
              </w:rPr>
              <w:t>LAND SECURITIES GROUP PLC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4318A04" w14:textId="77777777">
            <w:pPr>
              <w:pStyle w:val="Tab1MiddleColNonGrasCentre"/>
              <w:rPr>
                <w:lang w:val="fr-FR"/>
              </w:rPr>
            </w:pPr>
            <w:r>
              <w:rPr>
                <w:lang w:val="fr-FR"/>
              </w:rPr>
              <w:t>GBP</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B888ED9" w14:textId="77777777">
            <w:pPr>
              <w:pStyle w:val="Tab3MiddleColNonGras"/>
              <w:rPr>
                <w:lang w:val="fr-FR"/>
              </w:rPr>
            </w:pPr>
            <w:r>
              <w:rPr>
                <w:lang w:val="fr-FR"/>
              </w:rPr>
              <w:t>8 091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0DCFB0A" w14:textId="77777777">
            <w:pPr>
              <w:pStyle w:val="Tab3MiddleColNonGras"/>
              <w:rPr>
                <w:lang w:val="fr-FR"/>
              </w:rPr>
            </w:pPr>
            <w:r>
              <w:rPr>
                <w:lang w:val="fr-FR"/>
              </w:rPr>
              <w:t>69 962,62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8979129" w14:textId="77777777">
            <w:pPr>
              <w:pStyle w:val="Tab3LastColNonGras"/>
              <w:rPr>
                <w:lang w:val="fr-FR"/>
              </w:rPr>
            </w:pPr>
            <w:r>
              <w:rPr>
                <w:lang w:val="fr-FR"/>
              </w:rPr>
              <w:t>0,02</w:t>
            </w:r>
          </w:p>
        </w:tc>
      </w:tr>
      <w:tr w14:paraId="507721C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BC1E410" w14:textId="77777777">
            <w:pPr>
              <w:pStyle w:val="Tab3FirstColNonGras"/>
              <w:rPr>
                <w:lang w:val="fr-FR"/>
              </w:rPr>
            </w:pPr>
            <w:r>
              <w:rPr>
                <w:lang w:val="fr-FR"/>
              </w:rPr>
              <w:t>STOCKLAND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8572F60"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3C14F91" w14:textId="77777777">
            <w:pPr>
              <w:pStyle w:val="Tab3MiddleColNonGras"/>
              <w:rPr>
                <w:lang w:val="fr-FR"/>
              </w:rPr>
            </w:pPr>
            <w:r>
              <w:rPr>
                <w:lang w:val="fr-FR"/>
              </w:rPr>
              <w:t>31 196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A163169" w14:textId="77777777">
            <w:pPr>
              <w:pStyle w:val="Tab3MiddleColNonGras"/>
              <w:rPr>
                <w:lang w:val="fr-FR"/>
              </w:rPr>
            </w:pPr>
            <w:r>
              <w:rPr>
                <w:lang w:val="fr-FR"/>
              </w:rPr>
              <w:t>109 583,29</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0726AC7" w14:textId="77777777">
            <w:pPr>
              <w:pStyle w:val="Tab3LastColNonGras"/>
              <w:rPr>
                <w:lang w:val="fr-FR"/>
              </w:rPr>
            </w:pPr>
            <w:r>
              <w:rPr>
                <w:lang w:val="fr-FR"/>
              </w:rPr>
              <w:t>0,03</w:t>
            </w:r>
          </w:p>
        </w:tc>
      </w:tr>
      <w:tr w14:paraId="1BAE9A6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557555E" w14:textId="77777777">
            <w:pPr>
              <w:pStyle w:val="Tab3FirstColNonGras"/>
              <w:rPr>
                <w:lang w:val="fr-FR"/>
              </w:rPr>
            </w:pPr>
            <w:r>
              <w:rPr>
                <w:lang w:val="fr-FR"/>
              </w:rPr>
              <w:t>WP CAREY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2729F9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26200D0" w14:textId="77777777">
            <w:pPr>
              <w:pStyle w:val="Tab3MiddleColNonGras"/>
              <w:rPr>
                <w:lang w:val="fr-FR"/>
              </w:rPr>
            </w:pPr>
            <w:r>
              <w:rPr>
                <w:lang w:val="fr-FR"/>
              </w:rPr>
              <w:t>2 530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4C5D694" w14:textId="77777777">
            <w:pPr>
              <w:pStyle w:val="Tab3MiddleColNonGras"/>
              <w:rPr>
                <w:lang w:val="fr-FR"/>
              </w:rPr>
            </w:pPr>
            <w:r>
              <w:rPr>
                <w:lang w:val="fr-FR"/>
              </w:rPr>
              <w:t>157 821,40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4C599EB" w14:textId="77777777">
            <w:pPr>
              <w:pStyle w:val="Tab3LastColNonGras"/>
              <w:rPr>
                <w:lang w:val="fr-FR"/>
              </w:rPr>
            </w:pPr>
            <w:r>
              <w:rPr>
                <w:lang w:val="fr-FR"/>
              </w:rPr>
              <w:t>0,05</w:t>
            </w:r>
          </w:p>
        </w:tc>
      </w:tr>
      <w:tr w14:paraId="7DC6D349"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46595B5" w14:textId="77777777">
            <w:pPr>
              <w:pStyle w:val="Tab1FirstColGras"/>
              <w:rPr>
                <w:lang w:val="fr-FR"/>
              </w:rPr>
            </w:pPr>
            <w:r>
              <w:rPr>
                <w:lang w:val="fr-FR"/>
              </w:rPr>
              <w:t>Soins et autres services médicaux</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182CF26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0F5BE04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52B7BBE0" w14:textId="77777777">
            <w:pPr>
              <w:pStyle w:val="Tab1MiddleColGras"/>
              <w:rPr>
                <w:lang w:val="fr-FR"/>
              </w:rPr>
            </w:pPr>
            <w:r>
              <w:rPr>
                <w:lang w:val="fr-FR"/>
              </w:rPr>
              <w:t>3 145 237,68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DAF6BC8" w14:textId="77777777">
            <w:pPr>
              <w:pStyle w:val="Tab1LastColGras"/>
              <w:rPr>
                <w:lang w:val="fr-FR"/>
              </w:rPr>
            </w:pPr>
            <w:r>
              <w:rPr>
                <w:lang w:val="fr-FR"/>
              </w:rPr>
              <w:t>0,90</w:t>
            </w:r>
          </w:p>
        </w:tc>
      </w:tr>
      <w:tr w14:paraId="18F8242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FA48CA2" w14:textId="77777777">
            <w:pPr>
              <w:pStyle w:val="Tab3FirstColNonGras"/>
              <w:rPr>
                <w:lang w:val="fr-FR"/>
              </w:rPr>
            </w:pPr>
            <w:r>
              <w:rPr>
                <w:lang w:val="fr-FR"/>
              </w:rPr>
              <w:t>CARDINAL HEALTH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6B3F917"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167EA2D" w14:textId="77777777">
            <w:pPr>
              <w:pStyle w:val="Tab3MiddleColNonGras"/>
              <w:rPr>
                <w:lang w:val="fr-FR"/>
              </w:rPr>
            </w:pPr>
            <w:r>
              <w:rPr>
                <w:lang w:val="fr-FR"/>
              </w:rPr>
              <w:t>575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A8FC63F" w14:textId="77777777">
            <w:pPr>
              <w:pStyle w:val="Tab3MiddleColNonGras"/>
              <w:rPr>
                <w:lang w:val="fr-FR"/>
              </w:rPr>
            </w:pPr>
            <w:r>
              <w:rPr>
                <w:lang w:val="fr-FR"/>
              </w:rPr>
              <w:t>96 600,00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8B52924" w14:textId="77777777">
            <w:pPr>
              <w:pStyle w:val="Tab3LastColNonGras"/>
              <w:rPr>
                <w:lang w:val="fr-FR"/>
              </w:rPr>
            </w:pPr>
            <w:r>
              <w:rPr>
                <w:lang w:val="fr-FR"/>
              </w:rPr>
              <w:t>0,03</w:t>
            </w:r>
          </w:p>
        </w:tc>
      </w:tr>
      <w:tr w14:paraId="5603B71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28F5FA9" w14:textId="77777777">
            <w:pPr>
              <w:pStyle w:val="Tab3FirstColNonGras"/>
              <w:rPr>
                <w:lang w:val="fr-FR"/>
              </w:rPr>
            </w:pPr>
            <w:r>
              <w:rPr>
                <w:lang w:val="fr-FR"/>
              </w:rPr>
              <w:t>CENCORA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1557D0F"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7AB77CD" w14:textId="77777777">
            <w:pPr>
              <w:pStyle w:val="Tab3MiddleColNonGras"/>
              <w:rPr>
                <w:lang w:val="fr-FR"/>
              </w:rPr>
            </w:pPr>
            <w:r>
              <w:rPr>
                <w:lang w:val="fr-FR"/>
              </w:rPr>
              <w:t>430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81FCBA9" w14:textId="77777777">
            <w:pPr>
              <w:pStyle w:val="Tab3MiddleColNonGras"/>
              <w:rPr>
                <w:lang w:val="fr-FR"/>
              </w:rPr>
            </w:pPr>
            <w:r>
              <w:rPr>
                <w:lang w:val="fr-FR"/>
              </w:rPr>
              <w:t>128 935,50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6D50A95" w14:textId="77777777">
            <w:pPr>
              <w:pStyle w:val="Tab3LastColNonGras"/>
              <w:rPr>
                <w:lang w:val="fr-FR"/>
              </w:rPr>
            </w:pPr>
            <w:r>
              <w:rPr>
                <w:lang w:val="fr-FR"/>
              </w:rPr>
              <w:t>0,04</w:t>
            </w:r>
          </w:p>
        </w:tc>
      </w:tr>
      <w:tr w14:paraId="381AA42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793D9B3" w14:textId="77777777">
            <w:pPr>
              <w:pStyle w:val="Tab3FirstColNonGras"/>
              <w:rPr>
                <w:lang w:val="fr-FR"/>
              </w:rPr>
            </w:pPr>
            <w:r>
              <w:rPr>
                <w:lang w:val="fr-FR"/>
              </w:rPr>
              <w:t>CENTENE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E139AE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12A0820" w14:textId="77777777">
            <w:pPr>
              <w:pStyle w:val="Tab3MiddleColNonGras"/>
              <w:rPr>
                <w:lang w:val="fr-FR"/>
              </w:rPr>
            </w:pPr>
            <w:r>
              <w:rPr>
                <w:lang w:val="fr-FR"/>
              </w:rPr>
              <w:t>613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48691AA" w14:textId="77777777">
            <w:pPr>
              <w:pStyle w:val="Tab3MiddleColNonGras"/>
              <w:rPr>
                <w:lang w:val="fr-FR"/>
              </w:rPr>
            </w:pPr>
            <w:r>
              <w:rPr>
                <w:lang w:val="fr-FR"/>
              </w:rPr>
              <w:t>33 273,64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98ED8A9" w14:textId="77777777">
            <w:pPr>
              <w:pStyle w:val="Tab3LastColNonGras"/>
              <w:rPr>
                <w:lang w:val="fr-FR"/>
              </w:rPr>
            </w:pPr>
            <w:r>
              <w:rPr>
                <w:lang w:val="fr-FR"/>
              </w:rPr>
              <w:t>0,01</w:t>
            </w:r>
          </w:p>
        </w:tc>
      </w:tr>
      <w:tr w14:paraId="2B4A230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1198247" w14:textId="77777777">
            <w:pPr>
              <w:pStyle w:val="Tab3FirstColNonGras"/>
              <w:rPr>
                <w:lang w:val="fr-FR"/>
              </w:rPr>
            </w:pPr>
            <w:r>
              <w:rPr>
                <w:lang w:val="fr-FR"/>
              </w:rPr>
              <w:t>DAVITA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AA7CA8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210F303" w14:textId="77777777">
            <w:pPr>
              <w:pStyle w:val="Tab3MiddleColNonGras"/>
              <w:rPr>
                <w:lang w:val="fr-FR"/>
              </w:rPr>
            </w:pPr>
            <w:r>
              <w:rPr>
                <w:lang w:val="fr-FR"/>
              </w:rPr>
              <w:t>397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F477177" w14:textId="77777777">
            <w:pPr>
              <w:pStyle w:val="Tab3MiddleColNonGras"/>
              <w:rPr>
                <w:lang w:val="fr-FR"/>
              </w:rPr>
            </w:pPr>
            <w:r>
              <w:rPr>
                <w:lang w:val="fr-FR"/>
              </w:rPr>
              <w:t>56 552,65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2D89E9F" w14:textId="77777777">
            <w:pPr>
              <w:pStyle w:val="Tab3LastColNonGras"/>
              <w:rPr>
                <w:lang w:val="fr-FR"/>
              </w:rPr>
            </w:pPr>
            <w:r>
              <w:rPr>
                <w:lang w:val="fr-FR"/>
              </w:rPr>
              <w:t>0,02</w:t>
            </w:r>
          </w:p>
        </w:tc>
      </w:tr>
      <w:tr w14:paraId="07B0B21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62EF1FA" w14:textId="77777777">
            <w:pPr>
              <w:pStyle w:val="Tab3FirstColNonGras"/>
              <w:rPr>
                <w:lang w:val="fr-FR"/>
              </w:rPr>
            </w:pPr>
            <w:r>
              <w:rPr>
                <w:lang w:val="fr-FR"/>
              </w:rPr>
              <w:t>ELEVANCE HEALTH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205D84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5467761" w14:textId="77777777">
            <w:pPr>
              <w:pStyle w:val="Tab3MiddleColNonGras"/>
              <w:rPr>
                <w:lang w:val="fr-FR"/>
              </w:rPr>
            </w:pPr>
            <w:r>
              <w:rPr>
                <w:lang w:val="fr-FR"/>
              </w:rPr>
              <w:t>1 154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B5E9370" w14:textId="77777777">
            <w:pPr>
              <w:pStyle w:val="Tab3MiddleColNonGras"/>
              <w:rPr>
                <w:lang w:val="fr-FR"/>
              </w:rPr>
            </w:pPr>
            <w:r>
              <w:rPr>
                <w:lang w:val="fr-FR"/>
              </w:rPr>
              <w:t>448 859,84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64B094E" w14:textId="77777777">
            <w:pPr>
              <w:pStyle w:val="Tab3LastColNonGras"/>
              <w:rPr>
                <w:lang w:val="fr-FR"/>
              </w:rPr>
            </w:pPr>
            <w:r>
              <w:rPr>
                <w:lang w:val="fr-FR"/>
              </w:rPr>
              <w:t>0,13</w:t>
            </w:r>
          </w:p>
        </w:tc>
      </w:tr>
      <w:tr w14:paraId="075C779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0AD7533" w14:textId="77777777">
            <w:pPr>
              <w:pStyle w:val="Tab3FirstColNonGras"/>
              <w:rPr>
                <w:lang w:val="fr-FR"/>
              </w:rPr>
            </w:pPr>
            <w:r>
              <w:rPr>
                <w:lang w:val="fr-FR"/>
              </w:rPr>
              <w:t>FRESENIUS MEDICAL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975F2A1"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CE9E0CD" w14:textId="77777777">
            <w:pPr>
              <w:pStyle w:val="Tab3MiddleColNonGras"/>
              <w:rPr>
                <w:lang w:val="fr-FR"/>
              </w:rPr>
            </w:pPr>
            <w:r>
              <w:rPr>
                <w:lang w:val="fr-FR"/>
              </w:rPr>
              <w:t>762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3622244" w14:textId="77777777">
            <w:pPr>
              <w:pStyle w:val="Tab3MiddleColNonGras"/>
              <w:rPr>
                <w:lang w:val="fr-FR"/>
              </w:rPr>
            </w:pPr>
            <w:r>
              <w:rPr>
                <w:lang w:val="fr-FR"/>
              </w:rPr>
              <w:t>43 516,15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6C9660A" w14:textId="77777777">
            <w:pPr>
              <w:pStyle w:val="Tab3LastColNonGras"/>
              <w:rPr>
                <w:lang w:val="fr-FR"/>
              </w:rPr>
            </w:pPr>
            <w:r>
              <w:rPr>
                <w:lang w:val="fr-FR"/>
              </w:rPr>
              <w:t>0,01</w:t>
            </w:r>
          </w:p>
        </w:tc>
      </w:tr>
      <w:tr w14:paraId="1FFD4A2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16462D4" w14:textId="77777777">
            <w:pPr>
              <w:pStyle w:val="Tab3FirstColNonGras"/>
              <w:rPr>
                <w:lang w:val="fr-FR"/>
              </w:rPr>
            </w:pPr>
            <w:r>
              <w:rPr>
                <w:lang w:val="fr-FR"/>
              </w:rPr>
              <w:t>FRESENIUS SE &amp; CO KGAA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3300E60"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5A4248F" w14:textId="77777777">
            <w:pPr>
              <w:pStyle w:val="Tab3MiddleColNonGras"/>
              <w:rPr>
                <w:lang w:val="fr-FR"/>
              </w:rPr>
            </w:pPr>
            <w:r>
              <w:rPr>
                <w:lang w:val="fr-FR"/>
              </w:rPr>
              <w:t>1 888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51B6350" w14:textId="77777777">
            <w:pPr>
              <w:pStyle w:val="Tab3MiddleColNonGras"/>
              <w:rPr>
                <w:lang w:val="fr-FR"/>
              </w:rPr>
            </w:pPr>
            <w:r>
              <w:rPr>
                <w:lang w:val="fr-FR"/>
              </w:rPr>
              <w:t>94 588,65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6BDF217" w14:textId="77777777">
            <w:pPr>
              <w:pStyle w:val="Tab3LastColNonGras"/>
              <w:rPr>
                <w:lang w:val="fr-FR"/>
              </w:rPr>
            </w:pPr>
            <w:r>
              <w:rPr>
                <w:lang w:val="fr-FR"/>
              </w:rPr>
              <w:t>0,03</w:t>
            </w:r>
          </w:p>
        </w:tc>
      </w:tr>
    </w:tbl>
    <w:p w:rsidR="001F4AEE" w14:paraId="53118B6F" w14:textId="77777777">
      <w:pPr>
        <w:sectPr>
          <w:headerReference w:type="default" r:id="rId60"/>
          <w:footerReference w:type="default" r:id="rId61"/>
          <w:pgSz w:w="11900" w:h="16840"/>
          <w:pgMar w:top="2154" w:right="1134" w:bottom="1134" w:left="1134" w:header="400" w:footer="400" w:gutter="0"/>
          <w:cols w:space="720"/>
        </w:sectPr>
      </w:pPr>
    </w:p>
    <w:p w:rsidR="001F4AEE" w14:paraId="631F0B0C" w14:textId="77777777">
      <w:pPr>
        <w:spacing w:line="30" w:lineRule="exact"/>
        <w:rPr>
          <w:sz w:val="3"/>
        </w:rPr>
      </w:pPr>
    </w:p>
    <w:p w:rsidR="001F4AEE" w14:paraId="38F7B083" w14:textId="77777777">
      <w:pPr>
        <w:pStyle w:val="TechnicalBookmark"/>
        <w:rPr>
          <w:lang w:val="fr-FR"/>
        </w:rPr>
      </w:pPr>
      <w:r>
        <w:rPr>
          <w:lang w:val="fr-FR"/>
        </w:rPr>
        <w:fldChar w:fldCharType="begin"/>
      </w:r>
      <w:r>
        <w:rPr>
          <w:lang w:val="fr-FR"/>
        </w:rPr>
        <w:instrText xml:space="preserve"> SET A33194C2A3EF53DE3D1ED563FFB6708C "" </w:instrText>
      </w:r>
      <w:r>
        <w:rPr>
          <w:lang w:val="fr-FR"/>
        </w:rPr>
        <w:fldChar w:fldCharType="separate"/>
      </w:r>
      <w:bookmarkStart w:id="116" w:name="A33194C2A3EF53DE3D1ED563FFB6708C"/>
      <w:bookmarkEnd w:id="116"/>
      <w:r>
        <w:rPr>
          <w:lang w:val="fr-FR"/>
        </w:rPr>
        <w:fldChar w:fldCharType="end"/>
      </w:r>
    </w:p>
    <w:p w:rsidR="001F4AEE" w14:paraId="113B73AD" w14:textId="77777777">
      <w:pPr>
        <w:pStyle w:val="H2"/>
        <w:rPr>
          <w:lang w:val="fr-FR"/>
        </w:rPr>
      </w:pPr>
      <w:r>
        <w:rPr>
          <w:lang w:val="fr-FR"/>
        </w:rPr>
        <w:t xml:space="preserve">Inventaire des éléments de bilan </w:t>
      </w:r>
    </w:p>
    <w:p w:rsidR="001F4AEE" w14:paraId="30D15E68" w14:textId="77777777">
      <w:pPr>
        <w:pStyle w:val="NoRefToc"/>
        <w:rPr>
          <w:lang w:val="fr-FR"/>
        </w:rPr>
      </w:pPr>
    </w:p>
    <w:p w:rsidR="001F4AEE" w14:paraId="6B1F9C36" w14:textId="77777777">
      <w:pPr>
        <w:pStyle w:val="TechnicalBookmark"/>
        <w:rPr>
          <w:lang w:val="fr-FR"/>
        </w:rPr>
      </w:pPr>
      <w:r>
        <w:rPr>
          <w:lang w:val="fr-FR"/>
        </w:rPr>
        <w:fldChar w:fldCharType="begin"/>
      </w:r>
      <w:r>
        <w:rPr>
          <w:lang w:val="fr-FR"/>
        </w:rPr>
        <w:instrText xml:space="preserve"> SET 1E02D5B1A4C9B20A720010FCE797D6BE "" </w:instrText>
      </w:r>
      <w:r>
        <w:rPr>
          <w:lang w:val="fr-FR"/>
        </w:rPr>
        <w:fldChar w:fldCharType="separate"/>
      </w:r>
      <w:bookmarkStart w:id="117" w:name="1E02D5B1A4C9B20A720010FCE797D6BE"/>
      <w:bookmarkEnd w:id="117"/>
      <w:r>
        <w:rPr>
          <w:lang w:val="fr-FR"/>
        </w:rPr>
        <w:fldChar w:fldCharType="end"/>
      </w:r>
    </w:p>
    <w:p w:rsidR="001F4AEE" w14:paraId="36B8BB0E"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27A79D3F"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67ECD03D"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02FDB14B"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9874AC2" w14:textId="77777777">
            <w:pPr>
              <w:pStyle w:val="EnteteTabMiddleColBordure"/>
              <w:spacing w:line="184" w:lineRule="exact"/>
              <w:rPr>
                <w:lang w:val="fr-FR"/>
              </w:rPr>
            </w:pPr>
            <w:r>
              <w:rPr>
                <w:lang w:val="fr-FR"/>
              </w:rPr>
              <w:t>Quantité ou</w:t>
            </w:r>
          </w:p>
          <w:p w:rsidR="001F4AEE" w14:paraId="364BDD61"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1778A81C"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0AD5F3CC" w14:textId="77777777">
            <w:pPr>
              <w:pStyle w:val="EnteteTabLastColBordure"/>
              <w:spacing w:line="184" w:lineRule="exact"/>
              <w:rPr>
                <w:lang w:val="fr-FR"/>
              </w:rPr>
            </w:pPr>
            <w:r>
              <w:rPr>
                <w:lang w:val="fr-FR"/>
              </w:rPr>
              <w:t>% Actif</w:t>
            </w:r>
          </w:p>
          <w:p w:rsidR="001F4AEE" w14:paraId="4CF6805F" w14:textId="77777777">
            <w:pPr>
              <w:pStyle w:val="EnteteTabLastColBordure"/>
              <w:spacing w:line="184" w:lineRule="exact"/>
              <w:rPr>
                <w:lang w:val="fr-FR"/>
              </w:rPr>
            </w:pPr>
            <w:r>
              <w:rPr>
                <w:lang w:val="fr-FR"/>
              </w:rPr>
              <w:t>Net</w:t>
            </w:r>
          </w:p>
        </w:tc>
      </w:tr>
      <w:tr w14:paraId="4590E53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4484078" w14:textId="77777777">
            <w:pPr>
              <w:pStyle w:val="Tab3FirstColNonGras"/>
              <w:rPr>
                <w:lang w:val="fr-FR"/>
              </w:rPr>
            </w:pPr>
            <w:r>
              <w:rPr>
                <w:lang w:val="fr-FR"/>
              </w:rPr>
              <w:t>HUMANA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2DE197B"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D844E03" w14:textId="77777777">
            <w:pPr>
              <w:pStyle w:val="Tab3MiddleColNonGras"/>
              <w:rPr>
                <w:lang w:val="fr-FR"/>
              </w:rPr>
            </w:pPr>
            <w:r>
              <w:rPr>
                <w:lang w:val="fr-FR"/>
              </w:rPr>
              <w:t>589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7B1AA1F" w14:textId="77777777">
            <w:pPr>
              <w:pStyle w:val="Tab3MiddleColNonGras"/>
              <w:rPr>
                <w:lang w:val="fr-FR"/>
              </w:rPr>
            </w:pPr>
            <w:r>
              <w:rPr>
                <w:lang w:val="fr-FR"/>
              </w:rPr>
              <w:t>143 998,72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5D849B8" w14:textId="77777777">
            <w:pPr>
              <w:pStyle w:val="Tab3LastColNonGras"/>
              <w:rPr>
                <w:lang w:val="fr-FR"/>
              </w:rPr>
            </w:pPr>
            <w:r>
              <w:rPr>
                <w:lang w:val="fr-FR"/>
              </w:rPr>
              <w:t>0,04</w:t>
            </w:r>
          </w:p>
        </w:tc>
      </w:tr>
      <w:tr w14:paraId="6FCF38B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2B76DB6" w14:textId="77777777">
            <w:pPr>
              <w:pStyle w:val="Tab3FirstColNonGras"/>
              <w:rPr>
                <w:lang w:val="fr-FR"/>
              </w:rPr>
            </w:pPr>
            <w:r>
              <w:rPr>
                <w:lang w:val="fr-FR"/>
              </w:rPr>
              <w:t>MCKESSON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1F8D86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293AA5C" w14:textId="77777777">
            <w:pPr>
              <w:pStyle w:val="Tab3MiddleColNonGras"/>
              <w:rPr>
                <w:lang w:val="fr-FR"/>
              </w:rPr>
            </w:pPr>
            <w:r>
              <w:rPr>
                <w:lang w:val="fr-FR"/>
              </w:rPr>
              <w:t>315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5FB6050" w14:textId="77777777">
            <w:pPr>
              <w:pStyle w:val="Tab3MiddleColNonGras"/>
              <w:rPr>
                <w:lang w:val="fr-FR"/>
              </w:rPr>
            </w:pPr>
            <w:r>
              <w:rPr>
                <w:lang w:val="fr-FR"/>
              </w:rPr>
              <w:t>230 825,70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7AAD58B" w14:textId="77777777">
            <w:pPr>
              <w:pStyle w:val="Tab3LastColNonGras"/>
              <w:rPr>
                <w:lang w:val="fr-FR"/>
              </w:rPr>
            </w:pPr>
            <w:r>
              <w:rPr>
                <w:lang w:val="fr-FR"/>
              </w:rPr>
              <w:t>0,07</w:t>
            </w:r>
          </w:p>
        </w:tc>
      </w:tr>
      <w:tr w14:paraId="0A46E72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BBEE099" w14:textId="77777777">
            <w:pPr>
              <w:pStyle w:val="Tab3FirstColNonGras"/>
              <w:rPr>
                <w:lang w:val="fr-FR"/>
              </w:rPr>
            </w:pPr>
            <w:r>
              <w:rPr>
                <w:lang w:val="fr-FR"/>
              </w:rPr>
              <w:t>QUEST DIAGNOSTICS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4BB48F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FEBF20A" w14:textId="77777777">
            <w:pPr>
              <w:pStyle w:val="Tab3MiddleColNonGras"/>
              <w:rPr>
                <w:lang w:val="fr-FR"/>
              </w:rPr>
            </w:pPr>
            <w:r>
              <w:rPr>
                <w:lang w:val="fr-FR"/>
              </w:rPr>
              <w:t>515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9B16B90" w14:textId="77777777">
            <w:pPr>
              <w:pStyle w:val="Tab3MiddleColNonGras"/>
              <w:rPr>
                <w:lang w:val="fr-FR"/>
              </w:rPr>
            </w:pPr>
            <w:r>
              <w:rPr>
                <w:lang w:val="fr-FR"/>
              </w:rPr>
              <w:t>92 509,45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6782597" w14:textId="77777777">
            <w:pPr>
              <w:pStyle w:val="Tab3LastColNonGras"/>
              <w:rPr>
                <w:lang w:val="fr-FR"/>
              </w:rPr>
            </w:pPr>
            <w:r>
              <w:rPr>
                <w:lang w:val="fr-FR"/>
              </w:rPr>
              <w:t>0,03</w:t>
            </w:r>
          </w:p>
        </w:tc>
      </w:tr>
      <w:tr w14:paraId="43C8E34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D1D8539" w14:textId="77777777">
            <w:pPr>
              <w:pStyle w:val="Tab3FirstColNonGras"/>
              <w:rPr>
                <w:lang w:val="fr-FR"/>
              </w:rPr>
            </w:pPr>
            <w:r>
              <w:rPr>
                <w:lang w:val="fr-FR"/>
              </w:rPr>
              <w:t>SIGMA HEALTHCARE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08CCA4D"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439C9B5" w14:textId="77777777">
            <w:pPr>
              <w:pStyle w:val="Tab3MiddleColNonGras"/>
              <w:rPr>
                <w:lang w:val="fr-FR"/>
              </w:rPr>
            </w:pPr>
            <w:r>
              <w:rPr>
                <w:lang w:val="fr-FR"/>
              </w:rPr>
              <w:t>70 246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7FC0782" w14:textId="77777777">
            <w:pPr>
              <w:pStyle w:val="Tab3MiddleColNonGras"/>
              <w:rPr>
                <w:lang w:val="fr-FR"/>
              </w:rPr>
            </w:pPr>
            <w:r>
              <w:rPr>
                <w:lang w:val="fr-FR"/>
              </w:rPr>
              <w:t>137 649,12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AB8EF81" w14:textId="77777777">
            <w:pPr>
              <w:pStyle w:val="Tab3LastColNonGras"/>
              <w:rPr>
                <w:lang w:val="fr-FR"/>
              </w:rPr>
            </w:pPr>
            <w:r>
              <w:rPr>
                <w:lang w:val="fr-FR"/>
              </w:rPr>
              <w:t>0,04</w:t>
            </w:r>
          </w:p>
        </w:tc>
      </w:tr>
      <w:tr w14:paraId="3B71B41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CC41C92" w14:textId="77777777">
            <w:pPr>
              <w:pStyle w:val="Tab3FirstColNonGras"/>
              <w:rPr>
                <w:lang w:val="fr-FR"/>
              </w:rPr>
            </w:pPr>
            <w:r>
              <w:rPr>
                <w:lang w:val="fr-FR"/>
              </w:rPr>
              <w:t>SONIC HEALTHCARE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A88D797"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EC3B1CB" w14:textId="77777777">
            <w:pPr>
              <w:pStyle w:val="Tab3MiddleColNonGras"/>
              <w:rPr>
                <w:lang w:val="fr-FR"/>
              </w:rPr>
            </w:pPr>
            <w:r>
              <w:rPr>
                <w:lang w:val="fr-FR"/>
              </w:rPr>
              <w:t>2 159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4888ED7" w14:textId="77777777">
            <w:pPr>
              <w:pStyle w:val="Tab3MiddleColNonGras"/>
              <w:rPr>
                <w:lang w:val="fr-FR"/>
              </w:rPr>
            </w:pPr>
            <w:r>
              <w:rPr>
                <w:lang w:val="fr-FR"/>
              </w:rPr>
              <w:t>37 905,83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5DC9CA1" w14:textId="77777777">
            <w:pPr>
              <w:pStyle w:val="Tab3LastColNonGras"/>
              <w:rPr>
                <w:lang w:val="fr-FR"/>
              </w:rPr>
            </w:pPr>
            <w:r>
              <w:rPr>
                <w:lang w:val="fr-FR"/>
              </w:rPr>
              <w:t>0,01</w:t>
            </w:r>
          </w:p>
        </w:tc>
      </w:tr>
      <w:tr w14:paraId="219EA305"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4179E65" w14:textId="77777777">
            <w:pPr>
              <w:pStyle w:val="Tab3FirstColNonGras"/>
              <w:rPr>
                <w:lang w:val="fr-FR"/>
              </w:rPr>
            </w:pPr>
            <w:r>
              <w:rPr>
                <w:lang w:val="fr-FR"/>
              </w:rPr>
              <w:t>THE CIGNA GROUP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92444B5"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F6CC08D" w14:textId="77777777">
            <w:pPr>
              <w:pStyle w:val="Tab3MiddleColNonGras"/>
              <w:rPr>
                <w:lang w:val="fr-FR"/>
              </w:rPr>
            </w:pPr>
            <w:r>
              <w:rPr>
                <w:lang w:val="fr-FR"/>
              </w:rPr>
              <w:t>432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A23B12B" w14:textId="77777777">
            <w:pPr>
              <w:pStyle w:val="Tab3MiddleColNonGras"/>
              <w:rPr>
                <w:lang w:val="fr-FR"/>
              </w:rPr>
            </w:pPr>
            <w:r>
              <w:rPr>
                <w:lang w:val="fr-FR"/>
              </w:rPr>
              <w:t>142 810,56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650B78E" w14:textId="77777777">
            <w:pPr>
              <w:pStyle w:val="Tab3LastColNonGras"/>
              <w:rPr>
                <w:lang w:val="fr-FR"/>
              </w:rPr>
            </w:pPr>
            <w:r>
              <w:rPr>
                <w:lang w:val="fr-FR"/>
              </w:rPr>
              <w:t>0,04</w:t>
            </w:r>
          </w:p>
        </w:tc>
      </w:tr>
      <w:tr w14:paraId="432BEC7C"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DE0C7E3" w14:textId="77777777">
            <w:pPr>
              <w:pStyle w:val="Tab3FirstColNonGras"/>
              <w:rPr>
                <w:lang w:val="fr-FR"/>
              </w:rPr>
            </w:pPr>
            <w:r>
              <w:rPr>
                <w:lang w:val="fr-FR"/>
              </w:rPr>
              <w:t>UNITEDHEALTH GROUP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3613DD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48E0393" w14:textId="77777777">
            <w:pPr>
              <w:pStyle w:val="Tab3MiddleColNonGras"/>
              <w:rPr>
                <w:lang w:val="fr-FR"/>
              </w:rPr>
            </w:pPr>
            <w:r>
              <w:rPr>
                <w:lang w:val="fr-FR"/>
              </w:rPr>
              <w:t>4 671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72BE729" w14:textId="77777777">
            <w:pPr>
              <w:pStyle w:val="Tab3MiddleColNonGras"/>
              <w:rPr>
                <w:lang w:val="fr-FR"/>
              </w:rPr>
            </w:pPr>
            <w:r>
              <w:rPr>
                <w:lang w:val="fr-FR"/>
              </w:rPr>
              <w:t>1 457 211,87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A4FD1AE" w14:textId="77777777">
            <w:pPr>
              <w:pStyle w:val="Tab3LastColNonGras"/>
              <w:rPr>
                <w:lang w:val="fr-FR"/>
              </w:rPr>
            </w:pPr>
            <w:r>
              <w:rPr>
                <w:lang w:val="fr-FR"/>
              </w:rPr>
              <w:t>0,40</w:t>
            </w:r>
          </w:p>
        </w:tc>
      </w:tr>
      <w:tr w14:paraId="46F78983"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071C1696" w14:textId="77777777">
            <w:pPr>
              <w:pStyle w:val="Tab1FirstColGras"/>
              <w:rPr>
                <w:lang w:val="fr-FR"/>
              </w:rPr>
            </w:pPr>
            <w:r>
              <w:rPr>
                <w:lang w:val="fr-FR"/>
              </w:rPr>
              <w:t>Technologies des soins de santé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5B9B1B2F"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686EB7B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7A8B8315" w14:textId="77777777">
            <w:pPr>
              <w:pStyle w:val="Tab1MiddleColGras"/>
              <w:rPr>
                <w:lang w:val="fr-FR"/>
              </w:rPr>
            </w:pPr>
            <w:r>
              <w:rPr>
                <w:lang w:val="fr-FR"/>
              </w:rPr>
              <w:t>33 629,46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530AA06" w14:textId="77777777">
            <w:pPr>
              <w:pStyle w:val="Tab1LastColGras"/>
              <w:rPr>
                <w:lang w:val="fr-FR"/>
              </w:rPr>
            </w:pPr>
            <w:r>
              <w:rPr>
                <w:lang w:val="fr-FR"/>
              </w:rPr>
              <w:t>0,01</w:t>
            </w:r>
          </w:p>
        </w:tc>
      </w:tr>
      <w:tr w14:paraId="5056DA5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1633E8F" w14:textId="77777777">
            <w:pPr>
              <w:pStyle w:val="Tab3FirstColNonGras"/>
              <w:rPr>
                <w:lang w:val="fr-FR"/>
              </w:rPr>
            </w:pPr>
            <w:r>
              <w:rPr>
                <w:lang w:val="fr-FR"/>
              </w:rPr>
              <w:t>PRO MEDICUS LTD</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763B0DD" w14:textId="77777777">
            <w:pPr>
              <w:pStyle w:val="Tab1MiddleColNonGrasCentre"/>
              <w:rPr>
                <w:lang w:val="fr-FR"/>
              </w:rPr>
            </w:pPr>
            <w:r>
              <w:rPr>
                <w:lang w:val="fr-FR"/>
              </w:rPr>
              <w:t>AUD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68501F9" w14:textId="77777777">
            <w:pPr>
              <w:pStyle w:val="Tab3MiddleColNonGras"/>
              <w:rPr>
                <w:lang w:val="fr-FR"/>
              </w:rPr>
            </w:pPr>
            <w:r>
              <w:rPr>
                <w:lang w:val="fr-FR"/>
              </w:rPr>
              <w:t>180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7A998AD" w14:textId="77777777">
            <w:pPr>
              <w:pStyle w:val="Tab3MiddleColNonGras"/>
              <w:rPr>
                <w:lang w:val="fr-FR"/>
              </w:rPr>
            </w:pPr>
            <w:r>
              <w:rPr>
                <w:lang w:val="fr-FR"/>
              </w:rPr>
              <w:t>33 629,46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0532247" w14:textId="77777777">
            <w:pPr>
              <w:pStyle w:val="Tab3LastColNonGras"/>
              <w:rPr>
                <w:lang w:val="fr-FR"/>
              </w:rPr>
            </w:pPr>
            <w:r>
              <w:rPr>
                <w:lang w:val="fr-FR"/>
              </w:rPr>
              <w:t>0,01</w:t>
            </w:r>
          </w:p>
        </w:tc>
      </w:tr>
      <w:tr w14:paraId="0196BCA1"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2F02AEDE" w14:textId="77777777">
            <w:pPr>
              <w:pStyle w:val="Tab1FirstColGras"/>
              <w:rPr>
                <w:lang w:val="fr-FR"/>
              </w:rPr>
            </w:pPr>
            <w:r>
              <w:rPr>
                <w:lang w:val="fr-FR"/>
              </w:rPr>
              <w:t>Textiles, habillement et produits de luxe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14FB592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09974911"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0BDAD13E" w14:textId="77777777">
            <w:pPr>
              <w:pStyle w:val="Tab1MiddleColGras"/>
              <w:rPr>
                <w:lang w:val="fr-FR"/>
              </w:rPr>
            </w:pPr>
            <w:r>
              <w:rPr>
                <w:lang w:val="fr-FR"/>
              </w:rPr>
              <w:t>4 537 982,23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499F69C" w14:textId="77777777">
            <w:pPr>
              <w:pStyle w:val="Tab1LastColGras"/>
              <w:rPr>
                <w:lang w:val="fr-FR"/>
              </w:rPr>
            </w:pPr>
            <w:r>
              <w:rPr>
                <w:lang w:val="fr-FR"/>
              </w:rPr>
              <w:t>1,30</w:t>
            </w:r>
          </w:p>
        </w:tc>
      </w:tr>
      <w:tr w14:paraId="0FB209A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ECF2CEE" w14:textId="77777777">
            <w:pPr>
              <w:pStyle w:val="Tab3FirstColNonGras"/>
              <w:rPr>
                <w:lang w:val="fr-FR"/>
              </w:rPr>
            </w:pPr>
            <w:r>
              <w:rPr>
                <w:lang w:val="fr-FR"/>
              </w:rPr>
              <w:t>ADIDAS AG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CFB6208"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2EC9B66" w14:textId="77777777">
            <w:pPr>
              <w:pStyle w:val="Tab3MiddleColNonGras"/>
              <w:rPr>
                <w:lang w:val="fr-FR"/>
              </w:rPr>
            </w:pPr>
            <w:r>
              <w:rPr>
                <w:lang w:val="fr-FR"/>
              </w:rPr>
              <w:t>504</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A12429E" w14:textId="77777777">
            <w:pPr>
              <w:pStyle w:val="Tab3MiddleColNonGras"/>
              <w:rPr>
                <w:lang w:val="fr-FR"/>
              </w:rPr>
            </w:pPr>
            <w:r>
              <w:rPr>
                <w:lang w:val="fr-FR"/>
              </w:rPr>
              <w:t>117 111,26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9926178" w14:textId="77777777">
            <w:pPr>
              <w:pStyle w:val="Tab3LastColNonGras"/>
              <w:rPr>
                <w:lang w:val="fr-FR"/>
              </w:rPr>
            </w:pPr>
            <w:r>
              <w:rPr>
                <w:lang w:val="fr-FR"/>
              </w:rPr>
              <w:t>0,03</w:t>
            </w:r>
          </w:p>
        </w:tc>
      </w:tr>
      <w:tr w14:paraId="2A603317"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C29AD21" w14:textId="77777777">
            <w:pPr>
              <w:pStyle w:val="Tab3FirstColNonGras"/>
              <w:rPr>
                <w:lang w:val="fr-FR"/>
              </w:rPr>
            </w:pPr>
            <w:r>
              <w:rPr>
                <w:lang w:val="fr-FR"/>
              </w:rPr>
              <w:t>ASICS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5E393D2"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6AAA80C" w14:textId="77777777">
            <w:pPr>
              <w:pStyle w:val="Tab3MiddleColNonGras"/>
              <w:rPr>
                <w:lang w:val="fr-FR"/>
              </w:rPr>
            </w:pPr>
            <w:r>
              <w:rPr>
                <w:lang w:val="fr-FR"/>
              </w:rPr>
              <w:t>5 600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7BFD9625" w14:textId="77777777">
            <w:pPr>
              <w:pStyle w:val="Tab3MiddleColNonGras"/>
              <w:rPr>
                <w:lang w:val="fr-FR"/>
              </w:rPr>
            </w:pPr>
            <w:r>
              <w:rPr>
                <w:lang w:val="fr-FR"/>
              </w:rPr>
              <w:t>142 670,23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A75F5B6" w14:textId="77777777">
            <w:pPr>
              <w:pStyle w:val="Tab3LastColNonGras"/>
              <w:rPr>
                <w:lang w:val="fr-FR"/>
              </w:rPr>
            </w:pPr>
            <w:r>
              <w:rPr>
                <w:lang w:val="fr-FR"/>
              </w:rPr>
              <w:t>0,04</w:t>
            </w:r>
          </w:p>
        </w:tc>
      </w:tr>
      <w:tr w14:paraId="1EE3F58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794C961" w14:textId="77777777">
            <w:pPr>
              <w:pStyle w:val="Tab3FirstColNonGras"/>
              <w:rPr>
                <w:lang w:val="fr-FR"/>
              </w:rPr>
            </w:pPr>
            <w:r>
              <w:rPr>
                <w:lang w:val="fr-FR"/>
              </w:rPr>
              <w:t>CIE FINANCIERE RICHEMO-A 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1FE67C7"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7E01975" w14:textId="77777777">
            <w:pPr>
              <w:pStyle w:val="Tab3MiddleColNonGras"/>
              <w:rPr>
                <w:lang w:val="fr-FR"/>
              </w:rPr>
            </w:pPr>
            <w:r>
              <w:rPr>
                <w:lang w:val="fr-FR"/>
              </w:rPr>
              <w:t>5 032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B3D6104" w14:textId="77777777">
            <w:pPr>
              <w:pStyle w:val="Tab3MiddleColNonGras"/>
              <w:rPr>
                <w:lang w:val="fr-FR"/>
              </w:rPr>
            </w:pPr>
            <w:r>
              <w:rPr>
                <w:lang w:val="fr-FR"/>
              </w:rPr>
              <w:t>944 799,31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CBFA32E" w14:textId="77777777">
            <w:pPr>
              <w:pStyle w:val="Tab3LastColNonGras"/>
              <w:rPr>
                <w:lang w:val="fr-FR"/>
              </w:rPr>
            </w:pPr>
            <w:r>
              <w:rPr>
                <w:lang w:val="fr-FR"/>
              </w:rPr>
              <w:t>0,27</w:t>
            </w:r>
          </w:p>
        </w:tc>
      </w:tr>
      <w:tr w14:paraId="55D9930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2A4FF3E5" w14:textId="77777777">
            <w:pPr>
              <w:pStyle w:val="Tab3FirstColNonGras"/>
              <w:rPr>
                <w:lang w:val="fr-FR"/>
              </w:rPr>
            </w:pPr>
            <w:r>
              <w:rPr>
                <w:lang w:val="fr-FR"/>
              </w:rPr>
              <w:t>DECKERS OUTDOOR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84C719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07AE2F5C" w14:textId="77777777">
            <w:pPr>
              <w:pStyle w:val="Tab3MiddleColNonGras"/>
              <w:rPr>
                <w:lang w:val="fr-FR"/>
              </w:rPr>
            </w:pPr>
            <w:r>
              <w:rPr>
                <w:lang w:val="fr-FR"/>
              </w:rPr>
              <w:t>1 499</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05B81D0" w14:textId="77777777">
            <w:pPr>
              <w:pStyle w:val="Tab3MiddleColNonGras"/>
              <w:rPr>
                <w:lang w:val="fr-FR"/>
              </w:rPr>
            </w:pPr>
            <w:r>
              <w:rPr>
                <w:lang w:val="fr-FR"/>
              </w:rPr>
              <w:t>154 501,93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18FD48B" w14:textId="77777777">
            <w:pPr>
              <w:pStyle w:val="Tab3LastColNonGras"/>
              <w:rPr>
                <w:lang w:val="fr-FR"/>
              </w:rPr>
            </w:pPr>
            <w:r>
              <w:rPr>
                <w:lang w:val="fr-FR"/>
              </w:rPr>
              <w:t>0,04</w:t>
            </w:r>
          </w:p>
        </w:tc>
      </w:tr>
      <w:tr w14:paraId="25C7921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6E9D4FA" w14:textId="77777777">
            <w:pPr>
              <w:pStyle w:val="Tab3FirstColNonGras"/>
              <w:rPr>
                <w:lang w:val="fr-FR"/>
              </w:rPr>
            </w:pPr>
            <w:r>
              <w:rPr>
                <w:lang w:val="fr-FR"/>
              </w:rPr>
              <w:t>HERMES INTERNATIONAL</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39C2A1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907F286" w14:textId="77777777">
            <w:pPr>
              <w:pStyle w:val="Tab3MiddleColNonGras"/>
              <w:rPr>
                <w:lang w:val="fr-FR"/>
              </w:rPr>
            </w:pPr>
            <w:r>
              <w:rPr>
                <w:lang w:val="fr-FR"/>
              </w:rPr>
              <w:t>323</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0EFD8AC" w14:textId="77777777">
            <w:pPr>
              <w:pStyle w:val="Tab3MiddleColNonGras"/>
              <w:rPr>
                <w:lang w:val="fr-FR"/>
              </w:rPr>
            </w:pPr>
            <w:r>
              <w:rPr>
                <w:lang w:val="fr-FR"/>
              </w:rPr>
              <w:t>871 674,01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C57F7BC" w14:textId="77777777">
            <w:pPr>
              <w:pStyle w:val="Tab3LastColNonGras"/>
              <w:rPr>
                <w:lang w:val="fr-FR"/>
              </w:rPr>
            </w:pPr>
            <w:r>
              <w:rPr>
                <w:lang w:val="fr-FR"/>
              </w:rPr>
              <w:t>0,25</w:t>
            </w:r>
          </w:p>
        </w:tc>
      </w:tr>
      <w:tr w14:paraId="23D249D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43C0A1A" w14:textId="77777777">
            <w:pPr>
              <w:pStyle w:val="Tab3FirstColNonGras"/>
              <w:rPr>
                <w:lang w:val="fr-FR"/>
              </w:rPr>
            </w:pPr>
            <w:r>
              <w:rPr>
                <w:lang w:val="fr-FR"/>
              </w:rPr>
              <w:t>KERING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E5C812B"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7DD41846" w14:textId="77777777">
            <w:pPr>
              <w:pStyle w:val="Tab3MiddleColNonGras"/>
              <w:rPr>
                <w:lang w:val="fr-FR"/>
              </w:rPr>
            </w:pPr>
            <w:r>
              <w:rPr>
                <w:lang w:val="fr-FR"/>
              </w:rPr>
              <w:t>160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4CB42479" w14:textId="77777777">
            <w:pPr>
              <w:pStyle w:val="Tab3MiddleColNonGras"/>
              <w:rPr>
                <w:lang w:val="fr-FR"/>
              </w:rPr>
            </w:pPr>
            <w:r>
              <w:rPr>
                <w:lang w:val="fr-FR"/>
              </w:rPr>
              <w:t>34 663,32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5E8174A" w14:textId="77777777">
            <w:pPr>
              <w:pStyle w:val="Tab3LastColNonGras"/>
              <w:rPr>
                <w:lang w:val="fr-FR"/>
              </w:rPr>
            </w:pPr>
            <w:r>
              <w:rPr>
                <w:lang w:val="fr-FR"/>
              </w:rPr>
              <w:t>0,01</w:t>
            </w:r>
          </w:p>
        </w:tc>
      </w:tr>
      <w:tr w14:paraId="46F8F97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567ED1C" w14:textId="77777777">
            <w:pPr>
              <w:pStyle w:val="Tab3FirstColNonGras"/>
              <w:rPr>
                <w:lang w:val="fr-FR"/>
              </w:rPr>
            </w:pPr>
            <w:r>
              <w:rPr>
                <w:lang w:val="fr-FR"/>
              </w:rPr>
              <w:t>LULULEMON ATHLETICA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F003EDD"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7786926" w14:textId="77777777">
            <w:pPr>
              <w:pStyle w:val="Tab3MiddleColNonGras"/>
              <w:rPr>
                <w:lang w:val="fr-FR"/>
              </w:rPr>
            </w:pPr>
            <w:r>
              <w:rPr>
                <w:lang w:val="fr-FR"/>
              </w:rPr>
              <w:t>958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1668783" w14:textId="77777777">
            <w:pPr>
              <w:pStyle w:val="Tab3MiddleColNonGras"/>
              <w:rPr>
                <w:lang w:val="fr-FR"/>
              </w:rPr>
            </w:pPr>
            <w:r>
              <w:rPr>
                <w:lang w:val="fr-FR"/>
              </w:rPr>
              <w:t>227 601,64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569629D" w14:textId="77777777">
            <w:pPr>
              <w:pStyle w:val="Tab3LastColNonGras"/>
              <w:rPr>
                <w:lang w:val="fr-FR"/>
              </w:rPr>
            </w:pPr>
            <w:r>
              <w:rPr>
                <w:lang w:val="fr-FR"/>
              </w:rPr>
              <w:t>0,07</w:t>
            </w:r>
          </w:p>
        </w:tc>
      </w:tr>
      <w:tr w14:paraId="5EED41D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5886A2F8" w14:textId="77777777">
            <w:pPr>
              <w:pStyle w:val="Tab3FirstColNonGras"/>
              <w:rPr>
                <w:lang w:val="nl-NL"/>
              </w:rPr>
            </w:pPr>
            <w:r w:rsidRPr="00D61EB0">
              <w:rPr>
                <w:lang w:val="nl-NL"/>
              </w:rPr>
              <w:t>LVMH MOET HENNESSY LOUIS VUI</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4026D70A"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D147765" w14:textId="77777777">
            <w:pPr>
              <w:pStyle w:val="Tab3MiddleColNonGras"/>
              <w:rPr>
                <w:lang w:val="fr-FR"/>
              </w:rPr>
            </w:pPr>
            <w:r>
              <w:rPr>
                <w:lang w:val="fr-FR"/>
              </w:rPr>
              <w:t>2 447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5353297" w14:textId="77777777">
            <w:pPr>
              <w:pStyle w:val="Tab3MiddleColNonGras"/>
              <w:rPr>
                <w:lang w:val="fr-FR"/>
              </w:rPr>
            </w:pPr>
            <w:r>
              <w:rPr>
                <w:lang w:val="fr-FR"/>
              </w:rPr>
              <w:t>1 277 073,91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4E2769D" w14:textId="77777777">
            <w:pPr>
              <w:pStyle w:val="Tab3LastColNonGras"/>
              <w:rPr>
                <w:lang w:val="fr-FR"/>
              </w:rPr>
            </w:pPr>
            <w:r>
              <w:rPr>
                <w:lang w:val="fr-FR"/>
              </w:rPr>
              <w:t>0,37</w:t>
            </w:r>
          </w:p>
        </w:tc>
      </w:tr>
      <w:tr w14:paraId="19B2324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4F04E3E0" w14:textId="77777777">
            <w:pPr>
              <w:pStyle w:val="Tab3FirstColNonGras"/>
              <w:rPr>
                <w:lang w:val="en-US"/>
              </w:rPr>
            </w:pPr>
            <w:r w:rsidRPr="00D61EB0">
              <w:rPr>
                <w:lang w:val="en-US"/>
              </w:rPr>
              <w:t>NIKE INC  CLASS B COM NPV</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9A6D661"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07AFE16" w14:textId="77777777">
            <w:pPr>
              <w:pStyle w:val="Tab3MiddleColNonGras"/>
              <w:rPr>
                <w:lang w:val="fr-FR"/>
              </w:rPr>
            </w:pPr>
            <w:r>
              <w:rPr>
                <w:lang w:val="fr-FR"/>
              </w:rPr>
              <w:t>10 622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9726A55" w14:textId="77777777">
            <w:pPr>
              <w:pStyle w:val="Tab3MiddleColNonGras"/>
              <w:rPr>
                <w:lang w:val="fr-FR"/>
              </w:rPr>
            </w:pPr>
            <w:r>
              <w:rPr>
                <w:lang w:val="fr-FR"/>
              </w:rPr>
              <w:t>754 586,88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65661EA3" w14:textId="77777777">
            <w:pPr>
              <w:pStyle w:val="Tab3LastColNonGras"/>
              <w:rPr>
                <w:lang w:val="fr-FR"/>
              </w:rPr>
            </w:pPr>
            <w:r>
              <w:rPr>
                <w:lang w:val="fr-FR"/>
              </w:rPr>
              <w:t>0,22</w:t>
            </w:r>
          </w:p>
        </w:tc>
      </w:tr>
      <w:tr w14:paraId="2AC7596D"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64407AB4" w14:textId="77777777">
            <w:pPr>
              <w:pStyle w:val="Tab3FirstColNonGras"/>
              <w:rPr>
                <w:lang w:val="en-US"/>
              </w:rPr>
            </w:pPr>
            <w:r w:rsidRPr="00D61EB0">
              <w:rPr>
                <w:lang w:val="en-US"/>
              </w:rPr>
              <w:t>SWATCH GROUP AG/THE-BR</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8B03737"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B42FB11" w14:textId="77777777">
            <w:pPr>
              <w:pStyle w:val="Tab3MiddleColNonGras"/>
              <w:rPr>
                <w:lang w:val="fr-FR"/>
              </w:rPr>
            </w:pPr>
            <w:r>
              <w:rPr>
                <w:lang w:val="fr-FR"/>
              </w:rPr>
              <w:t>82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13A69CF6" w14:textId="77777777">
            <w:pPr>
              <w:pStyle w:val="Tab3MiddleColNonGras"/>
              <w:rPr>
                <w:lang w:val="fr-FR"/>
              </w:rPr>
            </w:pPr>
            <w:r>
              <w:rPr>
                <w:lang w:val="fr-FR"/>
              </w:rPr>
              <w:t>13 299,74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9E03E6A" w14:textId="77777777">
            <w:pPr>
              <w:pStyle w:val="Tab3LastColNonGras"/>
              <w:rPr>
                <w:lang w:val="fr-FR"/>
              </w:rPr>
            </w:pPr>
            <w:r>
              <w:rPr>
                <w:lang w:val="fr-FR"/>
              </w:rPr>
              <w:t>0,00</w:t>
            </w:r>
          </w:p>
        </w:tc>
      </w:tr>
      <w:tr w14:paraId="6F11AF4E"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3CBE7A3F" w14:textId="77777777">
            <w:pPr>
              <w:pStyle w:val="Tab1FirstColGras"/>
              <w:rPr>
                <w:lang w:val="fr-FR"/>
              </w:rPr>
            </w:pPr>
            <w:r>
              <w:rPr>
                <w:lang w:val="fr-FR"/>
              </w:rPr>
              <w:t>Transport maritime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72649FF2"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1958F7AF"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0522B64A" w14:textId="77777777">
            <w:pPr>
              <w:pStyle w:val="Tab1MiddleColGras"/>
              <w:rPr>
                <w:lang w:val="fr-FR"/>
              </w:rPr>
            </w:pPr>
            <w:r>
              <w:rPr>
                <w:lang w:val="fr-FR"/>
              </w:rPr>
              <w:t>134 996,08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FB7F3D3" w14:textId="77777777">
            <w:pPr>
              <w:pStyle w:val="Tab1LastColGras"/>
              <w:rPr>
                <w:lang w:val="fr-FR"/>
              </w:rPr>
            </w:pPr>
            <w:r>
              <w:rPr>
                <w:lang w:val="fr-FR"/>
              </w:rPr>
              <w:t>0,04</w:t>
            </w:r>
          </w:p>
        </w:tc>
      </w:tr>
      <w:tr w14:paraId="64E77CB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147F3262" w14:textId="77777777">
            <w:pPr>
              <w:pStyle w:val="Tab3FirstColNonGras"/>
              <w:rPr>
                <w:lang w:val="de-DE"/>
              </w:rPr>
            </w:pPr>
            <w:r w:rsidRPr="00D61EB0">
              <w:rPr>
                <w:lang w:val="de-DE"/>
              </w:rPr>
              <w:t>KUEHNE + NAGEL INTL AG-REG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EBC9491" w14:textId="77777777">
            <w:pPr>
              <w:pStyle w:val="Tab1MiddleColNonGrasCentre"/>
              <w:rPr>
                <w:lang w:val="fr-FR"/>
              </w:rPr>
            </w:pPr>
            <w:r>
              <w:rPr>
                <w:lang w:val="fr-FR"/>
              </w:rPr>
              <w:t>CHF</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39C7D01" w14:textId="77777777">
            <w:pPr>
              <w:pStyle w:val="Tab3MiddleColNonGras"/>
              <w:rPr>
                <w:lang w:val="fr-FR"/>
              </w:rPr>
            </w:pPr>
            <w:r>
              <w:rPr>
                <w:lang w:val="fr-FR"/>
              </w:rPr>
              <w:t>626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57472CB" w14:textId="77777777">
            <w:pPr>
              <w:pStyle w:val="Tab3MiddleColNonGras"/>
              <w:rPr>
                <w:lang w:val="fr-FR"/>
              </w:rPr>
            </w:pPr>
            <w:r>
              <w:rPr>
                <w:lang w:val="fr-FR"/>
              </w:rPr>
              <w:t>134 996,08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F64B102" w14:textId="77777777">
            <w:pPr>
              <w:pStyle w:val="Tab3LastColNonGras"/>
              <w:rPr>
                <w:lang w:val="fr-FR"/>
              </w:rPr>
            </w:pPr>
            <w:r>
              <w:rPr>
                <w:lang w:val="fr-FR"/>
              </w:rPr>
              <w:t>0,04</w:t>
            </w:r>
          </w:p>
        </w:tc>
      </w:tr>
      <w:tr w14:paraId="528BB440"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1FA80392" w14:textId="77777777">
            <w:pPr>
              <w:pStyle w:val="Tab1FirstColGras"/>
              <w:rPr>
                <w:lang w:val="fr-FR"/>
              </w:rPr>
            </w:pPr>
            <w:r>
              <w:rPr>
                <w:lang w:val="fr-FR"/>
              </w:rPr>
              <w:t>Transport routier et ferroviaire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0B9DCD63"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3FDCFE2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1C0FA219" w14:textId="77777777">
            <w:pPr>
              <w:pStyle w:val="Tab1MiddleColGras"/>
              <w:rPr>
                <w:lang w:val="fr-FR"/>
              </w:rPr>
            </w:pPr>
            <w:r>
              <w:rPr>
                <w:lang w:val="fr-FR"/>
              </w:rPr>
              <w:t>1 156 463,76</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ECA50D5" w14:textId="77777777">
            <w:pPr>
              <w:pStyle w:val="Tab1LastColGras"/>
              <w:rPr>
                <w:lang w:val="fr-FR"/>
              </w:rPr>
            </w:pPr>
            <w:r>
              <w:rPr>
                <w:lang w:val="fr-FR"/>
              </w:rPr>
              <w:t>0,33</w:t>
            </w:r>
          </w:p>
        </w:tc>
      </w:tr>
      <w:tr w14:paraId="332616C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48ECFEB" w14:textId="77777777">
            <w:pPr>
              <w:pStyle w:val="Tab3FirstColNonGras"/>
              <w:rPr>
                <w:lang w:val="fr-FR"/>
              </w:rPr>
            </w:pPr>
            <w:r>
              <w:rPr>
                <w:lang w:val="fr-FR"/>
              </w:rPr>
              <w:t>CENTRAL JAPAN RAILWAY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5CB4DF4"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37A4C7A" w14:textId="77777777">
            <w:pPr>
              <w:pStyle w:val="Tab3MiddleColNonGras"/>
              <w:rPr>
                <w:lang w:val="fr-FR"/>
              </w:rPr>
            </w:pPr>
            <w:r>
              <w:rPr>
                <w:lang w:val="fr-FR"/>
              </w:rPr>
              <w:t>22 000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5D4BF0E" w14:textId="77777777">
            <w:pPr>
              <w:pStyle w:val="Tab3MiddleColNonGras"/>
              <w:rPr>
                <w:lang w:val="fr-FR"/>
              </w:rPr>
            </w:pPr>
            <w:r>
              <w:rPr>
                <w:lang w:val="fr-FR"/>
              </w:rPr>
              <w:t>492 256,60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DB27B04" w14:textId="77777777">
            <w:pPr>
              <w:pStyle w:val="Tab3LastColNonGras"/>
              <w:rPr>
                <w:lang w:val="fr-FR"/>
              </w:rPr>
            </w:pPr>
            <w:r>
              <w:rPr>
                <w:lang w:val="fr-FR"/>
              </w:rPr>
              <w:t>0,14</w:t>
            </w:r>
          </w:p>
        </w:tc>
      </w:tr>
      <w:tr w14:paraId="30E799A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5743BCD5" w14:textId="77777777">
            <w:pPr>
              <w:pStyle w:val="Tab3FirstColNonGras"/>
              <w:rPr>
                <w:lang w:val="fr-FR"/>
              </w:rPr>
            </w:pPr>
            <w:r>
              <w:rPr>
                <w:lang w:val="fr-FR"/>
              </w:rPr>
              <w:t>EAST JAPAN RAILWAY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5CB02599"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C9F3FD6" w14:textId="77777777">
            <w:pPr>
              <w:pStyle w:val="Tab3MiddleColNonGras"/>
              <w:rPr>
                <w:lang w:val="fr-FR"/>
              </w:rPr>
            </w:pPr>
            <w:r>
              <w:rPr>
                <w:lang w:val="fr-FR"/>
              </w:rPr>
              <w:t>23 100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460EC1B" w14:textId="77777777">
            <w:pPr>
              <w:pStyle w:val="Tab3MiddleColNonGras"/>
              <w:rPr>
                <w:lang w:val="fr-FR"/>
              </w:rPr>
            </w:pPr>
            <w:r>
              <w:rPr>
                <w:lang w:val="fr-FR"/>
              </w:rPr>
              <w:t>497 039,05</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54E88ED" w14:textId="77777777">
            <w:pPr>
              <w:pStyle w:val="Tab3LastColNonGras"/>
              <w:rPr>
                <w:lang w:val="fr-FR"/>
              </w:rPr>
            </w:pPr>
            <w:r>
              <w:rPr>
                <w:lang w:val="fr-FR"/>
              </w:rPr>
              <w:t>0,14</w:t>
            </w:r>
          </w:p>
        </w:tc>
      </w:tr>
      <w:tr w14:paraId="3410C16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FFE864B" w14:textId="77777777">
            <w:pPr>
              <w:pStyle w:val="Tab3FirstColNonGras"/>
              <w:rPr>
                <w:lang w:val="fr-FR"/>
              </w:rPr>
            </w:pPr>
            <w:r>
              <w:rPr>
                <w:lang w:val="fr-FR"/>
              </w:rPr>
              <w:t>HUNT (JB) TRANSPRT SVCS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272B0EE"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4FA7174" w14:textId="77777777">
            <w:pPr>
              <w:pStyle w:val="Tab3MiddleColNonGras"/>
              <w:rPr>
                <w:lang w:val="fr-FR"/>
              </w:rPr>
            </w:pPr>
            <w:r>
              <w:rPr>
                <w:lang w:val="fr-FR"/>
              </w:rPr>
              <w:t>205</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36DF448F" w14:textId="77777777">
            <w:pPr>
              <w:pStyle w:val="Tab3MiddleColNonGras"/>
              <w:rPr>
                <w:lang w:val="fr-FR"/>
              </w:rPr>
            </w:pPr>
            <w:r>
              <w:rPr>
                <w:lang w:val="fr-FR"/>
              </w:rPr>
              <w:t>29 438,00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E55FE7D" w14:textId="77777777">
            <w:pPr>
              <w:pStyle w:val="Tab3LastColNonGras"/>
              <w:rPr>
                <w:lang w:val="fr-FR"/>
              </w:rPr>
            </w:pPr>
            <w:r>
              <w:rPr>
                <w:lang w:val="fr-FR"/>
              </w:rPr>
              <w:t>0,01</w:t>
            </w:r>
          </w:p>
        </w:tc>
      </w:tr>
      <w:tr w14:paraId="3B5678A4"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1D8448B" w14:textId="77777777">
            <w:pPr>
              <w:pStyle w:val="Tab3FirstColNonGras"/>
              <w:rPr>
                <w:lang w:val="fr-FR"/>
              </w:rPr>
            </w:pPr>
            <w:r>
              <w:rPr>
                <w:lang w:val="fr-FR"/>
              </w:rPr>
              <w:t>TOKYU CORP</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0CA3DD8"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9B36DE6" w14:textId="77777777">
            <w:pPr>
              <w:pStyle w:val="Tab3MiddleColNonGras"/>
              <w:rPr>
                <w:lang w:val="fr-FR"/>
              </w:rPr>
            </w:pPr>
            <w:r>
              <w:rPr>
                <w:lang w:val="fr-FR"/>
              </w:rPr>
              <w:t>5 900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38BE6A7" w14:textId="77777777">
            <w:pPr>
              <w:pStyle w:val="Tab3MiddleColNonGras"/>
              <w:rPr>
                <w:lang w:val="fr-FR"/>
              </w:rPr>
            </w:pPr>
            <w:r>
              <w:rPr>
                <w:lang w:val="fr-FR"/>
              </w:rPr>
              <w:t>70 010,04</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291C3CD5" w14:textId="77777777">
            <w:pPr>
              <w:pStyle w:val="Tab3LastColNonGras"/>
              <w:rPr>
                <w:lang w:val="fr-FR"/>
              </w:rPr>
            </w:pPr>
            <w:r>
              <w:rPr>
                <w:lang w:val="fr-FR"/>
              </w:rPr>
              <w:t>0,02</w:t>
            </w:r>
          </w:p>
        </w:tc>
      </w:tr>
      <w:tr w14:paraId="1E593E26"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rsidRPr="00D61EB0" w14:paraId="7F5F0D6E" w14:textId="77777777">
            <w:pPr>
              <w:pStyle w:val="Tab3FirstColNonGras"/>
              <w:rPr>
                <w:lang w:val="en-US"/>
              </w:rPr>
            </w:pPr>
            <w:r w:rsidRPr="00D61EB0">
              <w:rPr>
                <w:lang w:val="en-US"/>
              </w:rPr>
              <w:t>U-HAUL HOLDING CO-NON VOTING</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C933DB4"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37B30F43" w14:textId="77777777">
            <w:pPr>
              <w:pStyle w:val="Tab3MiddleColNonGras"/>
              <w:rPr>
                <w:lang w:val="fr-FR"/>
              </w:rPr>
            </w:pPr>
            <w:r>
              <w:rPr>
                <w:lang w:val="fr-FR"/>
              </w:rPr>
              <w:t>741</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B5D5454" w14:textId="77777777">
            <w:pPr>
              <w:pStyle w:val="Tab3MiddleColNonGras"/>
              <w:rPr>
                <w:lang w:val="fr-FR"/>
              </w:rPr>
            </w:pPr>
            <w:r>
              <w:rPr>
                <w:lang w:val="fr-FR"/>
              </w:rPr>
              <w:t>40 288,17</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679164B" w14:textId="77777777">
            <w:pPr>
              <w:pStyle w:val="Tab3LastColNonGras"/>
              <w:rPr>
                <w:lang w:val="fr-FR"/>
              </w:rPr>
            </w:pPr>
            <w:r>
              <w:rPr>
                <w:lang w:val="fr-FR"/>
              </w:rPr>
              <w:t>0,01</w:t>
            </w:r>
          </w:p>
        </w:tc>
      </w:tr>
      <w:tr w14:paraId="40E78EF1"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60B1F7DE" w14:textId="77777777">
            <w:pPr>
              <w:pStyle w:val="Tab3FirstColNonGras"/>
              <w:rPr>
                <w:lang w:val="fr-FR"/>
              </w:rPr>
            </w:pPr>
            <w:r>
              <w:rPr>
                <w:lang w:val="fr-FR"/>
              </w:rPr>
              <w:t>WEST JAPAN RAILWAY CO</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267EE51A" w14:textId="77777777">
            <w:pPr>
              <w:pStyle w:val="Tab1MiddleColNonGrasCentre"/>
              <w:rPr>
                <w:lang w:val="fr-FR"/>
              </w:rPr>
            </w:pPr>
            <w:r>
              <w:rPr>
                <w:lang w:val="fr-FR"/>
              </w:rPr>
              <w:t>JPY</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D27EE09" w14:textId="77777777">
            <w:pPr>
              <w:pStyle w:val="Tab3MiddleColNonGras"/>
              <w:rPr>
                <w:lang w:val="fr-FR"/>
              </w:rPr>
            </w:pPr>
            <w:r>
              <w:rPr>
                <w:lang w:val="fr-FR"/>
              </w:rPr>
              <w:t>1 200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2FE3B613" w14:textId="77777777">
            <w:pPr>
              <w:pStyle w:val="Tab3MiddleColNonGras"/>
              <w:rPr>
                <w:lang w:val="fr-FR"/>
              </w:rPr>
            </w:pPr>
            <w:r>
              <w:rPr>
                <w:lang w:val="fr-FR"/>
              </w:rPr>
              <w:t>27 431,90</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DCCB278" w14:textId="77777777">
            <w:pPr>
              <w:pStyle w:val="Tab3LastColNonGras"/>
              <w:rPr>
                <w:lang w:val="fr-FR"/>
              </w:rPr>
            </w:pPr>
            <w:r>
              <w:rPr>
                <w:lang w:val="fr-FR"/>
              </w:rPr>
              <w:t>0,01</w:t>
            </w:r>
          </w:p>
        </w:tc>
      </w:tr>
      <w:tr w14:paraId="486B0A0F"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0E639C3B" w14:textId="77777777">
            <w:pPr>
              <w:pStyle w:val="Tab1FirstColGras"/>
              <w:rPr>
                <w:lang w:val="fr-FR"/>
              </w:rPr>
            </w:pPr>
            <w:r>
              <w:rPr>
                <w:lang w:val="fr-FR"/>
              </w:rPr>
              <w:t>Vente par correspondance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1E6D2D6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5D734ABD"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2B0726B4" w14:textId="77777777">
            <w:pPr>
              <w:pStyle w:val="Tab1MiddleColGras"/>
              <w:rPr>
                <w:lang w:val="fr-FR"/>
              </w:rPr>
            </w:pPr>
            <w:r>
              <w:rPr>
                <w:lang w:val="fr-FR"/>
              </w:rPr>
              <w:t>14 381 845,71</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C648C66" w14:textId="77777777">
            <w:pPr>
              <w:pStyle w:val="Tab1LastColGras"/>
              <w:rPr>
                <w:lang w:val="fr-FR"/>
              </w:rPr>
            </w:pPr>
            <w:r>
              <w:rPr>
                <w:lang w:val="fr-FR"/>
              </w:rPr>
              <w:t>4,13</w:t>
            </w:r>
          </w:p>
        </w:tc>
      </w:tr>
      <w:tr w14:paraId="396CD3B3"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4D6DB598" w14:textId="77777777">
            <w:pPr>
              <w:pStyle w:val="Tab3FirstColNonGras"/>
              <w:rPr>
                <w:lang w:val="fr-FR"/>
              </w:rPr>
            </w:pPr>
            <w:r>
              <w:rPr>
                <w:lang w:val="fr-FR"/>
              </w:rPr>
              <w:t>AMAZON.COM INC</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04DC6163"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590CC4A" w14:textId="77777777">
            <w:pPr>
              <w:pStyle w:val="Tab3MiddleColNonGras"/>
              <w:rPr>
                <w:lang w:val="fr-FR"/>
              </w:rPr>
            </w:pPr>
            <w:r>
              <w:rPr>
                <w:lang w:val="fr-FR"/>
              </w:rPr>
              <w:t>65 082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EF9E4A2" w14:textId="77777777">
            <w:pPr>
              <w:pStyle w:val="Tab3MiddleColNonGras"/>
              <w:rPr>
                <w:lang w:val="fr-FR"/>
              </w:rPr>
            </w:pPr>
            <w:r>
              <w:rPr>
                <w:lang w:val="fr-FR"/>
              </w:rPr>
              <w:t>14 278 339,98</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3C50C12" w14:textId="77777777">
            <w:pPr>
              <w:pStyle w:val="Tab3LastColNonGras"/>
              <w:rPr>
                <w:lang w:val="fr-FR"/>
              </w:rPr>
            </w:pPr>
            <w:r>
              <w:rPr>
                <w:lang w:val="fr-FR"/>
              </w:rPr>
              <w:t>4,10</w:t>
            </w:r>
          </w:p>
        </w:tc>
      </w:tr>
      <w:tr w14:paraId="184A5F18"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F02469B" w14:textId="77777777">
            <w:pPr>
              <w:pStyle w:val="Tab3FirstColNonGras"/>
              <w:rPr>
                <w:lang w:val="fr-FR"/>
              </w:rPr>
            </w:pPr>
            <w:r>
              <w:rPr>
                <w:lang w:val="fr-FR"/>
              </w:rPr>
              <w:t>TOAST INC-CLASS A</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55B7436" w14:textId="77777777">
            <w:pPr>
              <w:pStyle w:val="Tab1MiddleColNonGrasCentre"/>
              <w:rPr>
                <w:lang w:val="fr-FR"/>
              </w:rPr>
            </w:pPr>
            <w:r>
              <w:rPr>
                <w:lang w:val="fr-FR"/>
              </w:rPr>
              <w:t>USD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0861589" w14:textId="77777777">
            <w:pPr>
              <w:pStyle w:val="Tab3MiddleColNonGras"/>
              <w:rPr>
                <w:lang w:val="fr-FR"/>
              </w:rPr>
            </w:pPr>
            <w:r>
              <w:rPr>
                <w:lang w:val="fr-FR"/>
              </w:rPr>
              <w:t>2 337</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2F4DB0D" w14:textId="77777777">
            <w:pPr>
              <w:pStyle w:val="Tab3MiddleColNonGras"/>
              <w:rPr>
                <w:lang w:val="fr-FR"/>
              </w:rPr>
            </w:pPr>
            <w:r>
              <w:rPr>
                <w:lang w:val="fr-FR"/>
              </w:rPr>
              <w:t>103 505,73</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68430A2" w14:textId="77777777">
            <w:pPr>
              <w:pStyle w:val="Tab3LastColNonGras"/>
              <w:rPr>
                <w:lang w:val="fr-FR"/>
              </w:rPr>
            </w:pPr>
            <w:r>
              <w:rPr>
                <w:lang w:val="fr-FR"/>
              </w:rPr>
              <w:t>0,03</w:t>
            </w:r>
          </w:p>
        </w:tc>
      </w:tr>
      <w:tr w14:paraId="60531A6B"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782ED494" w14:textId="77777777">
            <w:pPr>
              <w:pStyle w:val="Tab1FirstColGras"/>
              <w:rPr>
                <w:lang w:val="fr-FR"/>
              </w:rPr>
            </w:pPr>
            <w:r>
              <w:rPr>
                <w:lang w:val="fr-FR"/>
              </w:rPr>
              <w:t>Actions et valeurs assimilées non négociées sur un marché réglementé ou assimilé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379E1D8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47E07C1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0A067932" w14:textId="77777777">
            <w:pPr>
              <w:pStyle w:val="Tab1MiddleColGras"/>
              <w:rPr>
                <w:lang w:val="fr-FR"/>
              </w:rPr>
            </w:pPr>
            <w:r>
              <w:rPr>
                <w:lang w:val="fr-FR"/>
              </w:rPr>
              <w:t>104 460,82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5643507" w14:textId="77777777">
            <w:pPr>
              <w:pStyle w:val="Tab1LastColGras"/>
              <w:rPr>
                <w:lang w:val="fr-FR"/>
              </w:rPr>
            </w:pPr>
            <w:r>
              <w:rPr>
                <w:lang w:val="fr-FR"/>
              </w:rPr>
              <w:t>0,03</w:t>
            </w:r>
          </w:p>
        </w:tc>
      </w:tr>
      <w:tr w14:paraId="04D5BD18"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6F2962A5" w14:textId="77777777">
            <w:pPr>
              <w:pStyle w:val="Tab1FirstColGras"/>
              <w:rPr>
                <w:lang w:val="fr-FR"/>
              </w:rPr>
            </w:pPr>
            <w:r>
              <w:rPr>
                <w:lang w:val="fr-FR"/>
              </w:rPr>
              <w:t>Assurance</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21BA43BD"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01C55D71"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0B9E58DF" w14:textId="77777777">
            <w:pPr>
              <w:pStyle w:val="Tab1MiddleColGras"/>
              <w:rPr>
                <w:lang w:val="fr-FR"/>
              </w:rPr>
            </w:pPr>
            <w:r>
              <w:rPr>
                <w:lang w:val="fr-FR"/>
              </w:rPr>
              <w:t xml:space="preserve"> </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4C42BEB" w14:textId="77777777">
            <w:pPr>
              <w:pStyle w:val="Tab1LastColGras"/>
              <w:rPr>
                <w:lang w:val="fr-FR"/>
              </w:rPr>
            </w:pPr>
            <w:r>
              <w:rPr>
                <w:lang w:val="fr-FR"/>
              </w:rPr>
              <w:t>0,00</w:t>
            </w:r>
          </w:p>
        </w:tc>
      </w:tr>
      <w:tr w14:paraId="3F5346FA"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16C3E709" w14:textId="77777777">
            <w:pPr>
              <w:pStyle w:val="Tab3FirstColNonGras"/>
              <w:rPr>
                <w:lang w:val="fr-FR"/>
              </w:rPr>
            </w:pPr>
            <w:r>
              <w:rPr>
                <w:lang w:val="fr-FR"/>
              </w:rPr>
              <w:t>AEGON RTS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4830947"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6207CDCB" w14:textId="77777777">
            <w:pPr>
              <w:pStyle w:val="Tab3MiddleColNonGras"/>
              <w:rPr>
                <w:lang w:val="fr-FR"/>
              </w:rPr>
            </w:pPr>
            <w:r>
              <w:rPr>
                <w:lang w:val="fr-FR"/>
              </w:rPr>
              <w:t>3 300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06EDF41" w14:textId="77777777">
            <w:pPr>
              <w:pStyle w:val="Tab3MiddleColNonGras"/>
              <w:rPr>
                <w:lang w:val="fr-FR"/>
              </w:rPr>
            </w:pPr>
            <w:r>
              <w:rPr>
                <w:lang w:val="fr-FR"/>
              </w:rPr>
              <w:t xml:space="preserve"> </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87799C8" w14:textId="77777777">
            <w:pPr>
              <w:pStyle w:val="Tab3LastColNonGras"/>
              <w:rPr>
                <w:lang w:val="fr-FR"/>
              </w:rPr>
            </w:pPr>
            <w:r>
              <w:rPr>
                <w:lang w:val="fr-FR"/>
              </w:rPr>
              <w:t>0,00</w:t>
            </w:r>
          </w:p>
        </w:tc>
      </w:tr>
      <w:tr w14:paraId="7228E0D0"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78D6BCEF" w14:textId="77777777">
            <w:pPr>
              <w:pStyle w:val="Tab1FirstColGras"/>
              <w:rPr>
                <w:lang w:val="fr-FR"/>
              </w:rPr>
            </w:pPr>
            <w:r>
              <w:rPr>
                <w:lang w:val="fr-FR"/>
              </w:rPr>
              <w:t>Distribution de produits alimentaires de première nécessité</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611B0E0A"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65F6812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3CC5A81C" w14:textId="77777777">
            <w:pPr>
              <w:pStyle w:val="Tab1MiddleColGras"/>
              <w:rPr>
                <w:lang w:val="fr-FR"/>
              </w:rPr>
            </w:pPr>
            <w:r>
              <w:rPr>
                <w:lang w:val="fr-FR"/>
              </w:rPr>
              <w:t xml:space="preserve"> </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05CF0614" w14:textId="77777777">
            <w:pPr>
              <w:pStyle w:val="Tab1LastColGras"/>
              <w:rPr>
                <w:lang w:val="fr-FR"/>
              </w:rPr>
            </w:pPr>
            <w:r>
              <w:rPr>
                <w:lang w:val="fr-FR"/>
              </w:rPr>
              <w:t>0,00</w:t>
            </w:r>
          </w:p>
        </w:tc>
      </w:tr>
      <w:tr w14:paraId="1163C61C" w14:textId="77777777">
        <w:tblPrEx>
          <w:tblW w:w="5000" w:type="pct"/>
          <w:tblLayout w:type="fixed"/>
          <w:tblLook w:val="04A0"/>
        </w:tblPrEx>
        <w:trPr>
          <w:trHeight w:val="365"/>
        </w:trPr>
        <w:tc>
          <w:tcPr>
            <w:tcW w:w="5460" w:type="dxa"/>
            <w:tcBorders>
              <w:left w:val="single" w:sz="4" w:space="0" w:color="000000"/>
            </w:tcBorders>
            <w:tcMar>
              <w:top w:w="0" w:type="dxa"/>
              <w:left w:w="0" w:type="dxa"/>
              <w:bottom w:w="0" w:type="dxa"/>
              <w:right w:w="0" w:type="dxa"/>
            </w:tcMar>
            <w:vAlign w:val="center"/>
          </w:tcPr>
          <w:p w:rsidR="001F4AEE" w14:paraId="25458A91" w14:textId="77777777">
            <w:pPr>
              <w:pStyle w:val="Tab3FirstColNonGras"/>
              <w:rPr>
                <w:lang w:val="fr-FR"/>
              </w:rPr>
            </w:pPr>
            <w:r>
              <w:rPr>
                <w:lang w:val="fr-FR"/>
              </w:rPr>
              <w:t>CONSTELLATION SOFTWARE (CONSTELLATION SOFTWARE INC) CW 31-03</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77E1B204" w14:textId="77777777">
            <w:pPr>
              <w:pStyle w:val="Tab1MiddleColNonGrasCentre"/>
              <w:rPr>
                <w:lang w:val="fr-FR"/>
              </w:rPr>
            </w:pPr>
            <w:r>
              <w:rPr>
                <w:lang w:val="fr-FR"/>
              </w:rPr>
              <w:t>CAD</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28773F63" w14:textId="77777777">
            <w:pPr>
              <w:pStyle w:val="Tab3MiddleColNonGras"/>
              <w:rPr>
                <w:lang w:val="fr-FR"/>
              </w:rPr>
            </w:pPr>
            <w:r>
              <w:rPr>
                <w:lang w:val="fr-FR"/>
              </w:rPr>
              <w:t>62</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1C77D3B" w14:textId="77777777">
            <w:pPr>
              <w:pStyle w:val="Tab3MiddleColNonGras"/>
              <w:rPr>
                <w:lang w:val="fr-FR"/>
              </w:rPr>
            </w:pPr>
            <w:r>
              <w:rPr>
                <w:lang w:val="fr-FR"/>
              </w:rPr>
              <w:t xml:space="preserve"> </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D1BDFC1" w14:textId="77777777">
            <w:pPr>
              <w:pStyle w:val="Tab3LastColNonGras"/>
              <w:rPr>
                <w:lang w:val="fr-FR"/>
              </w:rPr>
            </w:pPr>
            <w:r>
              <w:rPr>
                <w:lang w:val="fr-FR"/>
              </w:rPr>
              <w:t>0,00</w:t>
            </w:r>
          </w:p>
        </w:tc>
      </w:tr>
      <w:tr w14:paraId="4472E83E"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3BB3E63B" w14:textId="77777777">
            <w:pPr>
              <w:pStyle w:val="Tab1FirstColGras"/>
              <w:rPr>
                <w:lang w:val="fr-FR"/>
              </w:rPr>
            </w:pPr>
            <w:r>
              <w:rPr>
                <w:lang w:val="fr-FR"/>
              </w:rPr>
              <w:t>Gestion immobilière et développement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7F9438E6"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7457DD17"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69C9C033" w14:textId="77777777">
            <w:pPr>
              <w:pStyle w:val="Tab1MiddleColGras"/>
              <w:rPr>
                <w:lang w:val="fr-FR"/>
              </w:rPr>
            </w:pPr>
            <w:r>
              <w:rPr>
                <w:lang w:val="fr-FR"/>
              </w:rPr>
              <w:t xml:space="preserve"> </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7BDF66AD" w14:textId="77777777">
            <w:pPr>
              <w:pStyle w:val="Tab1LastColGras"/>
              <w:rPr>
                <w:lang w:val="fr-FR"/>
              </w:rPr>
            </w:pPr>
            <w:r>
              <w:rPr>
                <w:lang w:val="fr-FR"/>
              </w:rPr>
              <w:t>0,00</w:t>
            </w:r>
          </w:p>
        </w:tc>
      </w:tr>
      <w:tr w14:paraId="6370B5BF"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074473DC" w14:textId="77777777">
            <w:pPr>
              <w:pStyle w:val="Tab3FirstColNonGras"/>
              <w:rPr>
                <w:lang w:val="fr-FR"/>
              </w:rPr>
            </w:pPr>
            <w:r>
              <w:rPr>
                <w:lang w:val="fr-FR"/>
              </w:rPr>
              <w:t>LEG IMMOBILIEN SE RTS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681D7086"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4C72A7F6" w14:textId="77777777">
            <w:pPr>
              <w:pStyle w:val="Tab3MiddleColNonGras"/>
              <w:rPr>
                <w:lang w:val="fr-FR"/>
              </w:rPr>
            </w:pPr>
            <w:r>
              <w:rPr>
                <w:lang w:val="fr-FR"/>
              </w:rPr>
              <w:t>946</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65A255B1" w14:textId="77777777">
            <w:pPr>
              <w:pStyle w:val="Tab3MiddleColNonGras"/>
              <w:rPr>
                <w:lang w:val="fr-FR"/>
              </w:rPr>
            </w:pPr>
            <w:r>
              <w:rPr>
                <w:lang w:val="fr-FR"/>
              </w:rPr>
              <w:t xml:space="preserve"> </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FBE5287" w14:textId="77777777">
            <w:pPr>
              <w:pStyle w:val="Tab3LastColNonGras"/>
              <w:rPr>
                <w:lang w:val="fr-FR"/>
              </w:rPr>
            </w:pPr>
            <w:r>
              <w:rPr>
                <w:lang w:val="fr-FR"/>
              </w:rPr>
              <w:t>0,00</w:t>
            </w:r>
          </w:p>
        </w:tc>
      </w:tr>
    </w:tbl>
    <w:p w:rsidR="001F4AEE" w14:paraId="75F93CC5" w14:textId="77777777">
      <w:pPr>
        <w:sectPr>
          <w:headerReference w:type="default" r:id="rId62"/>
          <w:footerReference w:type="default" r:id="rId63"/>
          <w:pgSz w:w="11900" w:h="16840"/>
          <w:pgMar w:top="2154" w:right="1134" w:bottom="1134" w:left="1134" w:header="400" w:footer="400" w:gutter="0"/>
          <w:cols w:space="720"/>
        </w:sectPr>
      </w:pPr>
    </w:p>
    <w:p w:rsidR="001F4AEE" w14:paraId="759D5058" w14:textId="77777777">
      <w:pPr>
        <w:spacing w:line="30" w:lineRule="exact"/>
        <w:rPr>
          <w:sz w:val="3"/>
        </w:rPr>
      </w:pPr>
    </w:p>
    <w:p w:rsidR="001F4AEE" w14:paraId="2F2026B2" w14:textId="77777777">
      <w:pPr>
        <w:pStyle w:val="TechnicalBookmark"/>
        <w:rPr>
          <w:lang w:val="fr-FR"/>
        </w:rPr>
      </w:pPr>
      <w:r>
        <w:rPr>
          <w:lang w:val="fr-FR"/>
        </w:rPr>
        <w:fldChar w:fldCharType="begin"/>
      </w:r>
      <w:r>
        <w:rPr>
          <w:lang w:val="fr-FR"/>
        </w:rPr>
        <w:instrText xml:space="preserve"> SET 1FA833D379050B9F0E93154C08F3B4C5 "" </w:instrText>
      </w:r>
      <w:r>
        <w:rPr>
          <w:lang w:val="fr-FR"/>
        </w:rPr>
        <w:fldChar w:fldCharType="separate"/>
      </w:r>
      <w:bookmarkStart w:id="118" w:name="1FA833D379050B9F0E93154C08F3B4C5"/>
      <w:bookmarkEnd w:id="118"/>
      <w:r>
        <w:rPr>
          <w:lang w:val="fr-FR"/>
        </w:rPr>
        <w:fldChar w:fldCharType="end"/>
      </w:r>
    </w:p>
    <w:p w:rsidR="001F4AEE" w14:paraId="7F7955B3" w14:textId="77777777">
      <w:pPr>
        <w:pStyle w:val="H2"/>
        <w:rPr>
          <w:lang w:val="fr-FR"/>
        </w:rPr>
      </w:pPr>
      <w:r>
        <w:rPr>
          <w:lang w:val="fr-FR"/>
        </w:rPr>
        <w:t xml:space="preserve">Inventaire des éléments de bilan </w:t>
      </w:r>
    </w:p>
    <w:p w:rsidR="001F4AEE" w14:paraId="6CD9A877" w14:textId="77777777">
      <w:pPr>
        <w:pStyle w:val="NoRefToc"/>
        <w:rPr>
          <w:lang w:val="fr-FR"/>
        </w:rPr>
      </w:pPr>
    </w:p>
    <w:p w:rsidR="001F4AEE" w14:paraId="7520C18E" w14:textId="77777777">
      <w:pPr>
        <w:pStyle w:val="TechnicalBookmark"/>
        <w:rPr>
          <w:lang w:val="fr-FR"/>
        </w:rPr>
      </w:pPr>
      <w:r>
        <w:rPr>
          <w:lang w:val="fr-FR"/>
        </w:rPr>
        <w:fldChar w:fldCharType="begin"/>
      </w:r>
      <w:r>
        <w:rPr>
          <w:lang w:val="fr-FR"/>
        </w:rPr>
        <w:instrText xml:space="preserve"> SET 85C54B11908A743891562750D22E4823 "" </w:instrText>
      </w:r>
      <w:r>
        <w:rPr>
          <w:lang w:val="fr-FR"/>
        </w:rPr>
        <w:fldChar w:fldCharType="separate"/>
      </w:r>
      <w:bookmarkStart w:id="119" w:name="85C54B11908A743891562750D22E4823"/>
      <w:bookmarkEnd w:id="119"/>
      <w:r>
        <w:rPr>
          <w:lang w:val="fr-FR"/>
        </w:rPr>
        <w:fldChar w:fldCharType="end"/>
      </w:r>
    </w:p>
    <w:p w:rsidR="001F4AEE" w14:paraId="04AE6D2F" w14:textId="77777777">
      <w:pPr>
        <w:pStyle w:val="TechnicalBookmark"/>
        <w:rPr>
          <w:lang w:val="fr-FR"/>
        </w:rPr>
      </w:pPr>
    </w:p>
    <w:tbl>
      <w:tblPr>
        <w:tblW w:w="5000" w:type="pct"/>
        <w:tblBorders>
          <w:bottom w:val="single" w:sz="4" w:space="0" w:color="000000"/>
        </w:tblBorders>
        <w:tblLayout w:type="fixed"/>
        <w:tblLook w:val="04A0"/>
      </w:tblPr>
      <w:tblGrid>
        <w:gridCol w:w="5425"/>
        <w:gridCol w:w="796"/>
        <w:gridCol w:w="1213"/>
        <w:gridCol w:w="1472"/>
        <w:gridCol w:w="716"/>
      </w:tblGrid>
      <w:tr w14:paraId="66F737A2" w14:textId="77777777">
        <w:tblPrEx>
          <w:tblW w:w="5000" w:type="pct"/>
          <w:tblBorders>
            <w:bottom w:val="single" w:sz="4" w:space="0" w:color="000000"/>
          </w:tblBorders>
          <w:tblLayout w:type="fixed"/>
          <w:tblLook w:val="04A0"/>
        </w:tblPrEx>
        <w:trPr>
          <w:trHeight w:val="385"/>
        </w:trPr>
        <w:tc>
          <w:tcPr>
            <w:tcW w:w="54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329F5CA5" w14:textId="77777777">
            <w:pPr>
              <w:pStyle w:val="EnteteTabFirstColBordure"/>
              <w:rPr>
                <w:lang w:val="fr-FR"/>
              </w:rPr>
            </w:pPr>
            <w:r>
              <w:rPr>
                <w:lang w:val="fr-FR"/>
              </w:rPr>
              <w:t>Désignation des valeurs par secteur d'activité (*)</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26B2051A" w14:textId="77777777">
            <w:pPr>
              <w:pStyle w:val="EnteteTabMiddleColBordure"/>
              <w:rPr>
                <w:lang w:val="fr-FR"/>
              </w:rPr>
            </w:pPr>
            <w:r>
              <w:rPr>
                <w:lang w:val="fr-FR"/>
              </w:rPr>
              <w:t>Devise</w:t>
            </w:r>
          </w:p>
        </w:tc>
        <w:tc>
          <w:tcPr>
            <w:tcW w:w="122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167A8426" w14:textId="77777777">
            <w:pPr>
              <w:pStyle w:val="EnteteTabMiddleColBordure"/>
              <w:spacing w:line="184" w:lineRule="exact"/>
              <w:rPr>
                <w:lang w:val="fr-FR"/>
              </w:rPr>
            </w:pPr>
            <w:r>
              <w:rPr>
                <w:lang w:val="fr-FR"/>
              </w:rPr>
              <w:t>Quantité ou</w:t>
            </w:r>
          </w:p>
          <w:p w:rsidR="001F4AEE" w14:paraId="752C6724" w14:textId="77777777">
            <w:pPr>
              <w:pStyle w:val="EnteteTabMiddleColBordure"/>
              <w:spacing w:line="184" w:lineRule="exact"/>
              <w:rPr>
                <w:lang w:val="fr-FR"/>
              </w:rPr>
            </w:pPr>
            <w:r>
              <w:rPr>
                <w:lang w:val="fr-FR"/>
              </w:rPr>
              <w:t>Nominal</w:t>
            </w:r>
          </w:p>
        </w:tc>
        <w:tc>
          <w:tcPr>
            <w:tcW w:w="14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437DB8E7" w14:textId="77777777">
            <w:pPr>
              <w:pStyle w:val="EnteteTabMiddleColBordure"/>
              <w:rPr>
                <w:lang w:val="fr-FR"/>
              </w:rPr>
            </w:pPr>
            <w:r>
              <w:rPr>
                <w:lang w:val="fr-FR"/>
              </w:rPr>
              <w:t>Valeur actuelle</w:t>
            </w:r>
          </w:p>
        </w:tc>
        <w:tc>
          <w:tcPr>
            <w:tcW w:w="72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492B5441" w14:textId="77777777">
            <w:pPr>
              <w:pStyle w:val="EnteteTabLastColBordure"/>
              <w:spacing w:line="184" w:lineRule="exact"/>
              <w:rPr>
                <w:lang w:val="fr-FR"/>
              </w:rPr>
            </w:pPr>
            <w:r>
              <w:rPr>
                <w:lang w:val="fr-FR"/>
              </w:rPr>
              <w:t>% Actif</w:t>
            </w:r>
          </w:p>
          <w:p w:rsidR="001F4AEE" w14:paraId="1E4C0F64" w14:textId="77777777">
            <w:pPr>
              <w:pStyle w:val="EnteteTabLastColBordure"/>
              <w:spacing w:line="184" w:lineRule="exact"/>
              <w:rPr>
                <w:lang w:val="fr-FR"/>
              </w:rPr>
            </w:pPr>
            <w:r>
              <w:rPr>
                <w:lang w:val="fr-FR"/>
              </w:rPr>
              <w:t>Net</w:t>
            </w:r>
          </w:p>
        </w:tc>
      </w:tr>
      <w:tr w14:paraId="6BCB794D"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351E268E" w14:textId="77777777">
            <w:pPr>
              <w:pStyle w:val="Tab1FirstColGras"/>
              <w:rPr>
                <w:lang w:val="fr-FR"/>
              </w:rPr>
            </w:pPr>
            <w:r>
              <w:rPr>
                <w:lang w:val="fr-FR"/>
              </w:rPr>
              <w:t>Produits pour l'industrie du bâtiment</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60B9F438"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58DAF1FE"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62827B75" w14:textId="77777777">
            <w:pPr>
              <w:pStyle w:val="Tab1MiddleColGras"/>
              <w:rPr>
                <w:lang w:val="fr-FR"/>
              </w:rPr>
            </w:pPr>
            <w:r>
              <w:rPr>
                <w:lang w:val="fr-FR"/>
              </w:rPr>
              <w:t>104 460,82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42C71DB5" w14:textId="77777777">
            <w:pPr>
              <w:pStyle w:val="Tab1LastColGras"/>
              <w:rPr>
                <w:lang w:val="fr-FR"/>
              </w:rPr>
            </w:pPr>
            <w:r>
              <w:rPr>
                <w:lang w:val="fr-FR"/>
              </w:rPr>
              <w:t>0,03</w:t>
            </w:r>
          </w:p>
        </w:tc>
      </w:tr>
      <w:tr w14:paraId="784734E0"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77F962ED" w14:textId="77777777">
            <w:pPr>
              <w:pStyle w:val="Tab3FirstColNonGras"/>
              <w:rPr>
                <w:lang w:val="fr-FR"/>
              </w:rPr>
            </w:pPr>
            <w:r>
              <w:rPr>
                <w:lang w:val="fr-FR"/>
              </w:rPr>
              <w:t>ROCKWOOL A/S</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355503ED" w14:textId="77777777">
            <w:pPr>
              <w:pStyle w:val="Tab1MiddleColNonGrasCentre"/>
              <w:rPr>
                <w:lang w:val="fr-FR"/>
              </w:rPr>
            </w:pPr>
            <w:r>
              <w:rPr>
                <w:lang w:val="fr-FR"/>
              </w:rPr>
              <w:t>DKK</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19846F3F" w14:textId="77777777">
            <w:pPr>
              <w:pStyle w:val="Tab3MiddleColNonGras"/>
              <w:rPr>
                <w:lang w:val="fr-FR"/>
              </w:rPr>
            </w:pPr>
            <w:r>
              <w:rPr>
                <w:lang w:val="fr-FR"/>
              </w:rPr>
              <w:t>2 240</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08AC76B1" w14:textId="77777777">
            <w:pPr>
              <w:pStyle w:val="Tab3MiddleColNonGras"/>
              <w:rPr>
                <w:lang w:val="fr-FR"/>
              </w:rPr>
            </w:pPr>
            <w:r>
              <w:rPr>
                <w:lang w:val="fr-FR"/>
              </w:rPr>
              <w:t>104 460,82</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B521D9F" w14:textId="77777777">
            <w:pPr>
              <w:pStyle w:val="Tab3LastColNonGras"/>
              <w:rPr>
                <w:lang w:val="fr-FR"/>
              </w:rPr>
            </w:pPr>
            <w:r>
              <w:rPr>
                <w:lang w:val="fr-FR"/>
              </w:rPr>
              <w:t>0,03</w:t>
            </w:r>
          </w:p>
        </w:tc>
      </w:tr>
      <w:tr w14:paraId="54EA111A" w14:textId="77777777">
        <w:tblPrEx>
          <w:tblW w:w="5000" w:type="pct"/>
          <w:tblLayout w:type="fixed"/>
          <w:tblLook w:val="04A0"/>
        </w:tblPrEx>
        <w:trPr>
          <w:trHeight w:val="385"/>
        </w:trPr>
        <w:tc>
          <w:tcPr>
            <w:tcW w:w="5460" w:type="dxa"/>
            <w:tcBorders>
              <w:left w:val="single" w:sz="4" w:space="0" w:color="000000"/>
            </w:tcBorders>
            <w:tcMar>
              <w:top w:w="0" w:type="dxa"/>
              <w:left w:w="0" w:type="dxa"/>
              <w:bottom w:w="0" w:type="dxa"/>
              <w:right w:w="0" w:type="dxa"/>
            </w:tcMar>
            <w:vAlign w:val="center"/>
          </w:tcPr>
          <w:p w:rsidR="001F4AEE" w14:paraId="5EC46697" w14:textId="77777777">
            <w:pPr>
              <w:pStyle w:val="Tab1FirstColGras"/>
              <w:rPr>
                <w:lang w:val="fr-FR"/>
              </w:rPr>
            </w:pPr>
            <w:r>
              <w:rPr>
                <w:lang w:val="fr-FR"/>
              </w:rPr>
              <w:t>Services aux professionnels</w:t>
            </w: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2FA09A61"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3F4F47D1"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5F82E8D4" w14:textId="77777777">
            <w:pPr>
              <w:pStyle w:val="Tab1MiddleColGras"/>
              <w:rPr>
                <w:lang w:val="fr-FR"/>
              </w:rPr>
            </w:pPr>
            <w:r>
              <w:rPr>
                <w:lang w:val="fr-FR"/>
              </w:rPr>
              <w:t xml:space="preserve"> </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3C2AE6EE" w14:textId="77777777">
            <w:pPr>
              <w:pStyle w:val="Tab1LastColGras"/>
              <w:rPr>
                <w:lang w:val="fr-FR"/>
              </w:rPr>
            </w:pPr>
            <w:r>
              <w:rPr>
                <w:lang w:val="fr-FR"/>
              </w:rPr>
              <w:t>0,00</w:t>
            </w:r>
          </w:p>
        </w:tc>
      </w:tr>
      <w:tr w14:paraId="52425F4B" w14:textId="77777777">
        <w:tblPrEx>
          <w:tblW w:w="5000" w:type="pct"/>
          <w:tblLayout w:type="fixed"/>
          <w:tblLook w:val="04A0"/>
        </w:tblPrEx>
        <w:trPr>
          <w:trHeight w:val="265"/>
        </w:trPr>
        <w:tc>
          <w:tcPr>
            <w:tcW w:w="5460" w:type="dxa"/>
            <w:tcBorders>
              <w:left w:val="single" w:sz="4" w:space="0" w:color="000000"/>
            </w:tcBorders>
            <w:tcMar>
              <w:top w:w="0" w:type="dxa"/>
              <w:left w:w="0" w:type="dxa"/>
              <w:bottom w:w="0" w:type="dxa"/>
              <w:right w:w="0" w:type="dxa"/>
            </w:tcMar>
            <w:vAlign w:val="center"/>
          </w:tcPr>
          <w:p w:rsidR="001F4AEE" w14:paraId="329EE7B7" w14:textId="77777777">
            <w:pPr>
              <w:pStyle w:val="Tab3FirstColNonGras"/>
              <w:rPr>
                <w:lang w:val="fr-FR"/>
              </w:rPr>
            </w:pPr>
            <w:r>
              <w:rPr>
                <w:lang w:val="fr-FR"/>
              </w:rPr>
              <w:t>WOLTERS KLUWER NV RTS 31-12-25</w:t>
            </w:r>
          </w:p>
        </w:tc>
        <w:tc>
          <w:tcPr>
            <w:tcW w:w="800" w:type="dxa"/>
            <w:tcBorders>
              <w:left w:val="single" w:sz="4" w:space="0" w:color="000000"/>
              <w:right w:val="single" w:sz="4" w:space="0" w:color="000000"/>
            </w:tcBorders>
            <w:tcMar>
              <w:top w:w="0" w:type="dxa"/>
              <w:left w:w="0" w:type="dxa"/>
              <w:bottom w:w="0" w:type="dxa"/>
              <w:right w:w="0" w:type="dxa"/>
            </w:tcMar>
            <w:vAlign w:val="center"/>
          </w:tcPr>
          <w:p w:rsidR="001F4AEE" w14:paraId="152C2615" w14:textId="77777777">
            <w:pPr>
              <w:pStyle w:val="Tab1MiddleColNonGrasCentre"/>
              <w:rPr>
                <w:lang w:val="fr-FR"/>
              </w:rPr>
            </w:pPr>
            <w:r>
              <w:rPr>
                <w:lang w:val="fr-FR"/>
              </w:rPr>
              <w:t>EUR</w:t>
            </w:r>
          </w:p>
        </w:tc>
        <w:tc>
          <w:tcPr>
            <w:tcW w:w="1220" w:type="dxa"/>
            <w:tcBorders>
              <w:left w:val="single" w:sz="4" w:space="0" w:color="000000"/>
              <w:right w:val="single" w:sz="4" w:space="0" w:color="000000"/>
            </w:tcBorders>
            <w:tcMar>
              <w:top w:w="0" w:type="dxa"/>
              <w:left w:w="0" w:type="dxa"/>
              <w:bottom w:w="0" w:type="dxa"/>
              <w:right w:w="0" w:type="dxa"/>
            </w:tcMar>
            <w:vAlign w:val="center"/>
          </w:tcPr>
          <w:p w:rsidR="001F4AEE" w14:paraId="59BDBBDC" w14:textId="77777777">
            <w:pPr>
              <w:pStyle w:val="Tab3MiddleColNonGras"/>
              <w:rPr>
                <w:lang w:val="fr-FR"/>
              </w:rPr>
            </w:pPr>
            <w:r>
              <w:rPr>
                <w:lang w:val="fr-FR"/>
              </w:rPr>
              <w:t>1 088</w:t>
            </w:r>
          </w:p>
        </w:tc>
        <w:tc>
          <w:tcPr>
            <w:tcW w:w="1480" w:type="dxa"/>
            <w:tcBorders>
              <w:left w:val="single" w:sz="4" w:space="0" w:color="000000"/>
              <w:right w:val="single" w:sz="4" w:space="0" w:color="000000"/>
            </w:tcBorders>
            <w:tcMar>
              <w:top w:w="0" w:type="dxa"/>
              <w:left w:w="0" w:type="dxa"/>
              <w:bottom w:w="0" w:type="dxa"/>
              <w:right w:w="0" w:type="dxa"/>
            </w:tcMar>
            <w:vAlign w:val="center"/>
          </w:tcPr>
          <w:p w:rsidR="001F4AEE" w14:paraId="5EDCC4A8" w14:textId="77777777">
            <w:pPr>
              <w:pStyle w:val="Tab3MiddleColNonGras"/>
              <w:rPr>
                <w:lang w:val="fr-FR"/>
              </w:rPr>
            </w:pPr>
            <w:r>
              <w:rPr>
                <w:lang w:val="fr-FR"/>
              </w:rPr>
              <w:t xml:space="preserve"> </w:t>
            </w: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567143C9" w14:textId="77777777">
            <w:pPr>
              <w:pStyle w:val="Tab3LastColNonGras"/>
              <w:rPr>
                <w:lang w:val="fr-FR"/>
              </w:rPr>
            </w:pPr>
            <w:r>
              <w:rPr>
                <w:lang w:val="fr-FR"/>
              </w:rPr>
              <w:t>0,00</w:t>
            </w:r>
          </w:p>
        </w:tc>
      </w:tr>
      <w:tr w14:paraId="49BB0854" w14:textId="77777777">
        <w:tblPrEx>
          <w:tblW w:w="5000" w:type="pct"/>
          <w:tblLayout w:type="fixed"/>
          <w:tblLook w:val="04A0"/>
        </w:tblPrEx>
        <w:trPr>
          <w:trHeight w:hRule="exact" w:val="45"/>
        </w:trPr>
        <w:tc>
          <w:tcPr>
            <w:tcW w:w="5460" w:type="dxa"/>
            <w:tcBorders>
              <w:left w:val="single" w:sz="4" w:space="0" w:color="000000"/>
            </w:tcBorders>
            <w:tcMar>
              <w:top w:w="0" w:type="dxa"/>
              <w:left w:w="0" w:type="dxa"/>
              <w:bottom w:w="0" w:type="dxa"/>
              <w:right w:w="0" w:type="dxa"/>
            </w:tcMar>
            <w:vAlign w:val="center"/>
          </w:tcPr>
          <w:p w:rsidR="001F4AEE" w14:paraId="574EA1F4" w14:textId="77777777">
            <w:pPr>
              <w:pStyle w:val="Tab1FirstColGrasNoContent"/>
              <w:rPr>
                <w:sz w:val="16"/>
                <w:lang w:val="fr-FR"/>
              </w:rPr>
            </w:pPr>
          </w:p>
        </w:tc>
        <w:tc>
          <w:tcPr>
            <w:tcW w:w="800" w:type="dxa"/>
            <w:tcBorders>
              <w:left w:val="single" w:sz="4" w:space="0" w:color="000000"/>
              <w:right w:val="single" w:sz="4" w:space="0" w:color="000000"/>
            </w:tcBorders>
            <w:tcMar>
              <w:top w:w="0" w:type="dxa"/>
              <w:left w:w="40" w:type="dxa"/>
              <w:bottom w:w="0" w:type="dxa"/>
              <w:right w:w="0" w:type="dxa"/>
            </w:tcMar>
            <w:vAlign w:val="center"/>
          </w:tcPr>
          <w:p w:rsidR="001F4AEE" w14:paraId="7EA7E215" w14:textId="77777777">
            <w:pPr>
              <w:pStyle w:val="Tab1MiddleColGrasNoContent"/>
              <w:rPr>
                <w:sz w:val="16"/>
                <w:lang w:val="fr-FR"/>
              </w:rPr>
            </w:pPr>
          </w:p>
        </w:tc>
        <w:tc>
          <w:tcPr>
            <w:tcW w:w="1220" w:type="dxa"/>
            <w:tcBorders>
              <w:left w:val="single" w:sz="4" w:space="0" w:color="000000"/>
              <w:right w:val="single" w:sz="4" w:space="0" w:color="000000"/>
            </w:tcBorders>
            <w:tcMar>
              <w:top w:w="0" w:type="dxa"/>
              <w:left w:w="40" w:type="dxa"/>
              <w:bottom w:w="0" w:type="dxa"/>
              <w:right w:w="0" w:type="dxa"/>
            </w:tcMar>
            <w:vAlign w:val="center"/>
          </w:tcPr>
          <w:p w:rsidR="001F4AEE" w14:paraId="099934AC" w14:textId="77777777">
            <w:pPr>
              <w:pStyle w:val="Tab1MiddleColGrasNoContent"/>
              <w:rPr>
                <w:sz w:val="16"/>
                <w:lang w:val="fr-FR"/>
              </w:rPr>
            </w:pPr>
          </w:p>
        </w:tc>
        <w:tc>
          <w:tcPr>
            <w:tcW w:w="1480" w:type="dxa"/>
            <w:tcBorders>
              <w:left w:val="single" w:sz="4" w:space="0" w:color="000000"/>
              <w:right w:val="single" w:sz="4" w:space="0" w:color="000000"/>
            </w:tcBorders>
            <w:tcMar>
              <w:top w:w="0" w:type="dxa"/>
              <w:left w:w="40" w:type="dxa"/>
              <w:bottom w:w="0" w:type="dxa"/>
              <w:right w:w="0" w:type="dxa"/>
            </w:tcMar>
            <w:vAlign w:val="center"/>
          </w:tcPr>
          <w:p w:rsidR="001F4AEE" w14:paraId="55865378" w14:textId="77777777">
            <w:pPr>
              <w:pStyle w:val="Tab1MiddleColGrasNoContent"/>
              <w:rPr>
                <w:sz w:val="16"/>
                <w:lang w:val="fr-FR"/>
              </w:rPr>
            </w:pPr>
          </w:p>
        </w:tc>
        <w:tc>
          <w:tcPr>
            <w:tcW w:w="720" w:type="dxa"/>
            <w:tcBorders>
              <w:left w:val="single" w:sz="4" w:space="0" w:color="000000"/>
              <w:right w:val="single" w:sz="4" w:space="0" w:color="000000"/>
            </w:tcBorders>
            <w:tcMar>
              <w:top w:w="0" w:type="dxa"/>
              <w:left w:w="0" w:type="dxa"/>
              <w:bottom w:w="0" w:type="dxa"/>
              <w:right w:w="0" w:type="dxa"/>
            </w:tcMar>
            <w:vAlign w:val="center"/>
          </w:tcPr>
          <w:p w:rsidR="001F4AEE" w14:paraId="1D3D0A26" w14:textId="77777777">
            <w:pPr>
              <w:pStyle w:val="Tab1LastColGrasNoContent"/>
              <w:rPr>
                <w:sz w:val="16"/>
                <w:lang w:val="fr-FR"/>
              </w:rPr>
            </w:pPr>
          </w:p>
        </w:tc>
      </w:tr>
      <w:tr w14:paraId="3BBEFFA5" w14:textId="77777777">
        <w:tblPrEx>
          <w:tblW w:w="5000" w:type="pct"/>
          <w:tblLayout w:type="fixed"/>
          <w:tblLook w:val="04A0"/>
        </w:tblPrEx>
        <w:trPr>
          <w:trHeight w:val="281"/>
        </w:trPr>
        <w:tc>
          <w:tcPr>
            <w:tcW w:w="7480" w:type="dxa"/>
            <w:gridSpan w:val="3"/>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1F4AEE" w14:paraId="273B6505" w14:textId="77777777">
            <w:pPr>
              <w:pStyle w:val="TotalTabFirstColBordure"/>
              <w:rPr>
                <w:lang w:val="fr-FR"/>
              </w:rPr>
            </w:pPr>
            <w:r>
              <w:rPr>
                <w:lang w:val="fr-FR"/>
              </w:rPr>
              <w:t>Total</w:t>
            </w:r>
          </w:p>
        </w:tc>
        <w:tc>
          <w:tcPr>
            <w:tcW w:w="148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2C9F36E0" w14:textId="77777777">
            <w:pPr>
              <w:pStyle w:val="TotalTabMiddleColBordure"/>
              <w:rPr>
                <w:lang w:val="fr-FR"/>
              </w:rPr>
            </w:pPr>
            <w:r>
              <w:rPr>
                <w:lang w:val="fr-FR"/>
              </w:rPr>
              <w:t>346 880 379,46</w:t>
            </w:r>
          </w:p>
        </w:tc>
        <w:tc>
          <w:tcPr>
            <w:tcW w:w="72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1F4AEE" w14:paraId="730902D8" w14:textId="77777777">
            <w:pPr>
              <w:pStyle w:val="TotalTabLastColBordure"/>
              <w:rPr>
                <w:lang w:val="fr-FR"/>
              </w:rPr>
            </w:pPr>
            <w:r>
              <w:rPr>
                <w:lang w:val="fr-FR"/>
              </w:rPr>
              <w:t>99,65</w:t>
            </w:r>
          </w:p>
        </w:tc>
      </w:tr>
    </w:tbl>
    <w:p w:rsidR="001F4AEE" w14:paraId="29623B6D" w14:textId="77777777">
      <w:pPr>
        <w:pStyle w:val="TechnicalBookmark"/>
        <w:rPr>
          <w:lang w:val="fr-FR"/>
        </w:rPr>
      </w:pPr>
    </w:p>
    <w:p w:rsidR="001F4AEE" w14:paraId="388EA050" w14:textId="77777777">
      <w:pPr>
        <w:pStyle w:val="TableNote"/>
        <w:spacing w:after="15" w:line="184" w:lineRule="exact"/>
        <w:rPr>
          <w:lang w:val="fr-FR"/>
        </w:rPr>
      </w:pPr>
      <w:r>
        <w:rPr>
          <w:lang w:val="fr-FR"/>
        </w:rPr>
        <w:t>(*) Le secteur d’activité représente l’activité principale de l’émetteur de l’instrument financier ; il est issu de sources fiables reconnues au plan international (GICS et NACE principalement).</w:t>
      </w:r>
    </w:p>
    <w:p w:rsidR="001F4AEE" w14:paraId="52A8DD20" w14:textId="77777777">
      <w:pPr>
        <w:pStyle w:val="BreakLine"/>
        <w:rPr>
          <w:lang w:val="fr-FR"/>
        </w:rPr>
      </w:pPr>
      <w:r>
        <w:rPr>
          <w:lang w:val="fr-FR"/>
        </w:rPr>
        <w:t xml:space="preserve"> </w:t>
      </w:r>
    </w:p>
    <w:p w:rsidR="001F4AEE" w14:paraId="3337FA14" w14:textId="77777777">
      <w:pPr>
        <w:pStyle w:val="TechnicalBookmark"/>
        <w:rPr>
          <w:lang w:val="fr-FR"/>
        </w:rPr>
      </w:pPr>
      <w:r>
        <w:rPr>
          <w:lang w:val="fr-FR"/>
        </w:rPr>
        <w:fldChar w:fldCharType="begin"/>
      </w:r>
      <w:r>
        <w:rPr>
          <w:lang w:val="fr-FR"/>
        </w:rPr>
        <w:instrText xml:space="preserve"> SET FFF8A5F229D2E2478B3D1F7595F70EDD "" </w:instrText>
      </w:r>
      <w:r>
        <w:rPr>
          <w:lang w:val="fr-FR"/>
        </w:rPr>
        <w:fldChar w:fldCharType="separate"/>
      </w:r>
      <w:bookmarkStart w:id="120" w:name="FFF8A5F229D2E2478B3D1F7595F70EDD"/>
      <w:bookmarkEnd w:id="120"/>
      <w:r>
        <w:rPr>
          <w:lang w:val="fr-FR"/>
        </w:rPr>
        <w:fldChar w:fldCharType="end"/>
      </w:r>
    </w:p>
    <w:p w:rsidR="001F4AEE" w14:paraId="0581A8DC" w14:textId="77777777">
      <w:pPr>
        <w:pStyle w:val="H2SPACEBEFORE"/>
        <w:ind w:right="2400"/>
        <w:rPr>
          <w:lang w:val="fr-FR"/>
        </w:rPr>
      </w:pPr>
      <w:r>
        <w:rPr>
          <w:lang w:val="fr-FR"/>
        </w:rPr>
        <w:t>|</w:t>
      </w:r>
    </w:p>
    <w:p w:rsidR="001F4AEE" w14:paraId="5A37C05C" w14:textId="77777777">
      <w:pPr>
        <w:pStyle w:val="H2"/>
        <w:rPr>
          <w:lang w:val="fr-FR"/>
        </w:rPr>
      </w:pPr>
      <w:bookmarkStart w:id="121" w:name="Inventaire_des_opérations_à_terme_de_dev"/>
      <w:bookmarkEnd w:id="121"/>
      <w:r>
        <w:rPr>
          <w:lang w:val="fr-FR"/>
        </w:rPr>
        <w:t>Inventaire des opérations à terme de devises</w:t>
      </w:r>
    </w:p>
    <w:p w:rsidR="001F4AEE" w14:paraId="27DB6B5B" w14:textId="77777777">
      <w:pPr>
        <w:pStyle w:val="RefToc2"/>
        <w:rPr>
          <w:lang w:val="fr-FR"/>
        </w:rPr>
      </w:pPr>
      <w:bookmarkStart w:id="122" w:name="BK_8A9C51320F2188491F29FAC1A48D6BFD"/>
      <w:bookmarkEnd w:id="122"/>
    </w:p>
    <w:p w:rsidR="001F4AEE" w14:paraId="27B2450C" w14:textId="77777777">
      <w:pPr>
        <w:pStyle w:val="TechnicalBookmark"/>
        <w:rPr>
          <w:lang w:val="fr-FR"/>
        </w:rPr>
      </w:pPr>
      <w:r>
        <w:rPr>
          <w:lang w:val="fr-FR"/>
        </w:rPr>
        <w:fldChar w:fldCharType="begin"/>
      </w:r>
      <w:r>
        <w:rPr>
          <w:lang w:val="fr-FR"/>
        </w:rPr>
        <w:instrText xml:space="preserve"> SET F9D8552F54481067C73D99BB58B9D1F1 "" </w:instrText>
      </w:r>
      <w:r>
        <w:rPr>
          <w:lang w:val="fr-FR"/>
        </w:rPr>
        <w:fldChar w:fldCharType="separate"/>
      </w:r>
      <w:bookmarkStart w:id="123" w:name="F9D8552F54481067C73D99BB58B9D1F1"/>
      <w:bookmarkEnd w:id="123"/>
      <w:r>
        <w:rPr>
          <w:lang w:val="fr-FR"/>
        </w:rPr>
        <w:fldChar w:fldCharType="end"/>
      </w:r>
    </w:p>
    <w:p w:rsidR="001F4AEE" w14:paraId="7D0F9FAB" w14:textId="77777777">
      <w:pPr>
        <w:pStyle w:val="TechnicalBookmark"/>
        <w:rPr>
          <w:lang w:val="fr-FR"/>
        </w:rPr>
      </w:pPr>
    </w:p>
    <w:tbl>
      <w:tblPr>
        <w:tblW w:w="5000" w:type="pct"/>
        <w:tblBorders>
          <w:bottom w:val="single" w:sz="4" w:space="0" w:color="000000"/>
        </w:tblBorders>
        <w:tblLayout w:type="fixed"/>
        <w:tblLook w:val="04A0"/>
      </w:tblPr>
      <w:tblGrid>
        <w:gridCol w:w="2176"/>
        <w:gridCol w:w="1377"/>
        <w:gridCol w:w="1397"/>
        <w:gridCol w:w="839"/>
        <w:gridCol w:w="1497"/>
        <w:gridCol w:w="839"/>
        <w:gridCol w:w="1497"/>
      </w:tblGrid>
      <w:tr w14:paraId="33763A79" w14:textId="77777777">
        <w:tblPrEx>
          <w:tblW w:w="5000" w:type="pct"/>
          <w:tblBorders>
            <w:bottom w:val="single" w:sz="4" w:space="0" w:color="000000"/>
          </w:tblBorders>
          <w:tblLayout w:type="fixed"/>
          <w:tblLook w:val="04A0"/>
        </w:tblPrEx>
        <w:trPr>
          <w:trHeight w:val="485"/>
        </w:trPr>
        <w:tc>
          <w:tcPr>
            <w:tcW w:w="218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5B6D59CE" w14:textId="77777777">
            <w:pPr>
              <w:pStyle w:val="EnteteTabFirstColBordure"/>
              <w:rPr>
                <w:lang w:val="fr-FR"/>
              </w:rPr>
            </w:pPr>
            <w:r>
              <w:rPr>
                <w:lang w:val="fr-FR"/>
              </w:rPr>
              <w:t>Type d'opération</w:t>
            </w:r>
          </w:p>
        </w:tc>
        <w:tc>
          <w:tcPr>
            <w:tcW w:w="278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0D1B2941" w14:textId="77777777">
            <w:pPr>
              <w:pStyle w:val="EnteteTabMiddleColBordure"/>
              <w:rPr>
                <w:lang w:val="fr-FR"/>
              </w:rPr>
            </w:pPr>
            <w:r>
              <w:rPr>
                <w:lang w:val="fr-FR"/>
              </w:rPr>
              <w:t>Valeur actuelle présentée au bilan</w:t>
            </w:r>
          </w:p>
        </w:tc>
        <w:tc>
          <w:tcPr>
            <w:tcW w:w="4680" w:type="dxa"/>
            <w:gridSpan w:val="4"/>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660A47ED" w14:textId="77777777">
            <w:pPr>
              <w:pStyle w:val="EnteteTabMiddleColBordure"/>
              <w:rPr>
                <w:lang w:val="fr-FR"/>
              </w:rPr>
            </w:pPr>
            <w:r>
              <w:rPr>
                <w:lang w:val="fr-FR"/>
              </w:rPr>
              <w:t>Montant de l'exposition (*)</w:t>
            </w:r>
          </w:p>
        </w:tc>
      </w:tr>
      <w:tr w14:paraId="3B00E7F0" w14:textId="77777777">
        <w:tblPrEx>
          <w:tblW w:w="5000" w:type="pct"/>
          <w:tblLayout w:type="fixed"/>
          <w:tblLook w:val="04A0"/>
        </w:tblPrEx>
        <w:trPr>
          <w:trHeight w:val="485"/>
        </w:trPr>
        <w:tc>
          <w:tcPr>
            <w:tcW w:w="218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1F4AEE" w14:paraId="59ADF299" w14:textId="77777777"/>
        </w:tc>
        <w:tc>
          <w:tcPr>
            <w:tcW w:w="138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0140ABBB" w14:textId="77777777">
            <w:pPr>
              <w:pStyle w:val="EnteteTabMiddleColBordure"/>
              <w:rPr>
                <w:lang w:val="fr-FR"/>
              </w:rPr>
            </w:pPr>
            <w:r>
              <w:rPr>
                <w:lang w:val="fr-FR"/>
              </w:rPr>
              <w:t>Actif</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2908D7BD" w14:textId="77777777">
            <w:pPr>
              <w:pStyle w:val="EnteteTabMiddleColBordure"/>
              <w:rPr>
                <w:lang w:val="fr-FR"/>
              </w:rPr>
            </w:pPr>
            <w:r>
              <w:rPr>
                <w:lang w:val="fr-FR"/>
              </w:rPr>
              <w:t>Passif</w:t>
            </w:r>
          </w:p>
        </w:tc>
        <w:tc>
          <w:tcPr>
            <w:tcW w:w="234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34926FB" w14:textId="77777777">
            <w:pPr>
              <w:pStyle w:val="EnteteTabMiddleColBordure"/>
              <w:rPr>
                <w:lang w:val="fr-FR"/>
              </w:rPr>
            </w:pPr>
            <w:r>
              <w:rPr>
                <w:lang w:val="fr-FR"/>
              </w:rPr>
              <w:t>Devises à recevoir (+)</w:t>
            </w:r>
          </w:p>
        </w:tc>
        <w:tc>
          <w:tcPr>
            <w:tcW w:w="234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38694ECD" w14:textId="77777777">
            <w:pPr>
              <w:pStyle w:val="EnteteTabMiddleColBordure"/>
              <w:rPr>
                <w:lang w:val="fr-FR"/>
              </w:rPr>
            </w:pPr>
            <w:r>
              <w:rPr>
                <w:lang w:val="fr-FR"/>
              </w:rPr>
              <w:t>Devises à livrer (-)</w:t>
            </w:r>
          </w:p>
        </w:tc>
      </w:tr>
      <w:tr w14:paraId="479FE1BF" w14:textId="77777777">
        <w:tblPrEx>
          <w:tblW w:w="5000" w:type="pct"/>
          <w:tblLayout w:type="fixed"/>
          <w:tblLook w:val="04A0"/>
        </w:tblPrEx>
        <w:trPr>
          <w:trHeight w:val="485"/>
        </w:trPr>
        <w:tc>
          <w:tcPr>
            <w:tcW w:w="218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1F4AEE" w14:paraId="2CCEB762" w14:textId="77777777"/>
        </w:tc>
        <w:tc>
          <w:tcPr>
            <w:tcW w:w="13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4AEE" w14:paraId="115DF23C" w14:textId="77777777"/>
        </w:tc>
        <w:tc>
          <w:tcPr>
            <w:tcW w:w="14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4AEE" w14:paraId="5C22B426" w14:textId="77777777"/>
        </w:tc>
        <w:tc>
          <w:tcPr>
            <w:tcW w:w="8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3A65F32A" w14:textId="77777777">
            <w:pPr>
              <w:pStyle w:val="EnteteTabMiddleColBordure"/>
              <w:rPr>
                <w:lang w:val="fr-FR"/>
              </w:rPr>
            </w:pPr>
            <w:r>
              <w:rPr>
                <w:lang w:val="fr-FR"/>
              </w:rPr>
              <w:t>Devise</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742E7888" w14:textId="77777777">
            <w:pPr>
              <w:pStyle w:val="EnteteTabMiddleColBordure"/>
              <w:rPr>
                <w:lang w:val="fr-FR"/>
              </w:rPr>
            </w:pPr>
            <w:r>
              <w:rPr>
                <w:lang w:val="fr-FR"/>
              </w:rPr>
              <w:t>Montant (*)</w:t>
            </w:r>
          </w:p>
        </w:tc>
        <w:tc>
          <w:tcPr>
            <w:tcW w:w="8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35D2F749" w14:textId="77777777">
            <w:pPr>
              <w:pStyle w:val="EnteteTabMiddleColBordure"/>
              <w:rPr>
                <w:lang w:val="fr-FR"/>
              </w:rPr>
            </w:pPr>
            <w:r>
              <w:rPr>
                <w:lang w:val="fr-FR"/>
              </w:rPr>
              <w:t>Devise</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79658B5A" w14:textId="77777777">
            <w:pPr>
              <w:pStyle w:val="EnteteTabMiddleColBordure"/>
              <w:rPr>
                <w:lang w:val="fr-FR"/>
              </w:rPr>
            </w:pPr>
            <w:r>
              <w:rPr>
                <w:lang w:val="fr-FR"/>
              </w:rPr>
              <w:t>Montant (*)</w:t>
            </w:r>
          </w:p>
        </w:tc>
      </w:tr>
      <w:tr w14:paraId="30E8BC5E" w14:textId="77777777">
        <w:tblPrEx>
          <w:tblW w:w="5000" w:type="pct"/>
          <w:tblLayout w:type="fixed"/>
          <w:tblLook w:val="04A0"/>
        </w:tblPrEx>
        <w:trPr>
          <w:trHeight w:val="281"/>
        </w:trPr>
        <w:tc>
          <w:tcPr>
            <w:tcW w:w="218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1F4AEE" w14:paraId="5BA44582" w14:textId="77777777">
            <w:pPr>
              <w:pStyle w:val="TotalTabFirstColBordure"/>
              <w:rPr>
                <w:lang w:val="fr-FR"/>
              </w:rPr>
            </w:pPr>
            <w:r>
              <w:rPr>
                <w:lang w:val="fr-FR"/>
              </w:rPr>
              <w:t>Total</w:t>
            </w:r>
          </w:p>
        </w:tc>
        <w:tc>
          <w:tcPr>
            <w:tcW w:w="138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480B865C" w14:textId="77777777">
            <w:pPr>
              <w:pStyle w:val="TotalTabMiddleColBordure"/>
              <w:rPr>
                <w:lang w:val="fr-FR"/>
              </w:rPr>
            </w:pPr>
            <w:r>
              <w:rPr>
                <w:lang w:val="fr-FR"/>
              </w:rPr>
              <w:t xml:space="preserve"> </w:t>
            </w:r>
          </w:p>
        </w:tc>
        <w:tc>
          <w:tcPr>
            <w:tcW w:w="14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7D2E541B" w14:textId="77777777">
            <w:pPr>
              <w:pStyle w:val="TotalTabMiddleColBordure"/>
              <w:rPr>
                <w:lang w:val="fr-FR"/>
              </w:rPr>
            </w:pPr>
            <w:r>
              <w:rPr>
                <w:lang w:val="fr-FR"/>
              </w:rPr>
              <w:t xml:space="preserve"> </w:t>
            </w:r>
          </w:p>
        </w:tc>
        <w:tc>
          <w:tcPr>
            <w:tcW w:w="84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755D8418"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1FA18954" w14:textId="77777777">
            <w:pPr>
              <w:pStyle w:val="TotalTabMiddleColBordure"/>
              <w:rPr>
                <w:lang w:val="fr-FR"/>
              </w:rPr>
            </w:pPr>
            <w:r>
              <w:rPr>
                <w:lang w:val="fr-FR"/>
              </w:rPr>
              <w:t xml:space="preserve"> </w:t>
            </w:r>
          </w:p>
        </w:tc>
        <w:tc>
          <w:tcPr>
            <w:tcW w:w="84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131E11B1"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0399734B" w14:textId="77777777">
            <w:pPr>
              <w:pStyle w:val="TotalTabMiddleColBordure"/>
              <w:rPr>
                <w:lang w:val="fr-FR"/>
              </w:rPr>
            </w:pPr>
            <w:r>
              <w:rPr>
                <w:lang w:val="fr-FR"/>
              </w:rPr>
              <w:t xml:space="preserve"> </w:t>
            </w:r>
          </w:p>
        </w:tc>
      </w:tr>
    </w:tbl>
    <w:p w:rsidR="001F4AEE" w14:paraId="6B8F3DDC" w14:textId="77777777">
      <w:pPr>
        <w:pStyle w:val="TechnicalBookmark"/>
        <w:rPr>
          <w:lang w:val="fr-FR"/>
        </w:rPr>
      </w:pPr>
    </w:p>
    <w:p w:rsidR="001F4AEE" w14:paraId="71450759" w14:textId="77777777">
      <w:pPr>
        <w:pStyle w:val="TableNote"/>
        <w:spacing w:after="15" w:line="184" w:lineRule="exact"/>
        <w:rPr>
          <w:lang w:val="fr-FR"/>
        </w:rPr>
      </w:pPr>
      <w:r>
        <w:rPr>
          <w:lang w:val="fr-FR"/>
        </w:rPr>
        <w:t>(*) Montant déterminé selon les dispositions du règlement relatif à la présentation des expositions exprimé dans la devise de comptabilisation.</w:t>
      </w:r>
    </w:p>
    <w:p w:rsidR="001F4AEE" w14:paraId="0037C6DD" w14:textId="77777777">
      <w:pPr>
        <w:pStyle w:val="BreakLine"/>
        <w:rPr>
          <w:lang w:val="fr-FR"/>
        </w:rPr>
        <w:sectPr>
          <w:headerReference w:type="default" r:id="rId64"/>
          <w:footerReference w:type="default" r:id="rId65"/>
          <w:pgSz w:w="11900" w:h="16840"/>
          <w:pgMar w:top="2154" w:right="1134" w:bottom="1134" w:left="1134" w:header="400" w:footer="400" w:gutter="0"/>
          <w:cols w:space="720"/>
        </w:sectPr>
      </w:pPr>
      <w:r>
        <w:rPr>
          <w:lang w:val="fr-FR"/>
        </w:rPr>
        <w:t xml:space="preserve"> </w:t>
      </w:r>
      <w:r>
        <w:rPr>
          <w:lang w:val="fr-FR"/>
        </w:rPr>
        <w:cr/>
      </w:r>
    </w:p>
    <w:p w:rsidR="001F4AEE" w:rsidRPr="00D61EB0" w14:paraId="76D4C48E" w14:textId="77777777">
      <w:pPr>
        <w:spacing w:line="30" w:lineRule="exact"/>
        <w:rPr>
          <w:sz w:val="3"/>
          <w:lang w:val="fr-FR"/>
        </w:rPr>
      </w:pPr>
    </w:p>
    <w:p w:rsidR="001F4AEE" w14:paraId="5B85653C" w14:textId="77777777">
      <w:pPr>
        <w:pStyle w:val="TechnicalBookmark"/>
        <w:rPr>
          <w:lang w:val="fr-FR"/>
        </w:rPr>
      </w:pPr>
      <w:r>
        <w:rPr>
          <w:lang w:val="fr-FR"/>
        </w:rPr>
        <w:fldChar w:fldCharType="begin"/>
      </w:r>
      <w:r>
        <w:rPr>
          <w:lang w:val="fr-FR"/>
        </w:rPr>
        <w:instrText xml:space="preserve"> SET 16814369BC5D7C60EF641EB239551321 "" </w:instrText>
      </w:r>
      <w:r>
        <w:rPr>
          <w:lang w:val="fr-FR"/>
        </w:rPr>
        <w:fldChar w:fldCharType="separate"/>
      </w:r>
      <w:bookmarkStart w:id="124" w:name="16814369BC5D7C60EF641EB239551321"/>
      <w:bookmarkEnd w:id="124"/>
      <w:r>
        <w:rPr>
          <w:lang w:val="fr-FR"/>
        </w:rPr>
        <w:fldChar w:fldCharType="end"/>
      </w:r>
    </w:p>
    <w:p w:rsidR="001F4AEE" w14:paraId="27899B5F" w14:textId="77777777">
      <w:pPr>
        <w:pStyle w:val="H2"/>
        <w:rPr>
          <w:lang w:val="fr-FR"/>
        </w:rPr>
      </w:pPr>
      <w:bookmarkStart w:id="125" w:name="Inventaire_des_instruments_financiers_à_"/>
      <w:bookmarkEnd w:id="125"/>
      <w:r>
        <w:rPr>
          <w:lang w:val="fr-FR"/>
        </w:rPr>
        <w:t>Inventaire des instruments financiers à terme</w:t>
      </w:r>
    </w:p>
    <w:p w:rsidR="001F4AEE" w14:paraId="651A468E" w14:textId="77777777">
      <w:pPr>
        <w:pStyle w:val="RefToc2"/>
        <w:rPr>
          <w:lang w:val="fr-FR"/>
        </w:rPr>
      </w:pPr>
      <w:bookmarkStart w:id="126" w:name="BK_8A1E759B7756103E0289FAD60C690B9E"/>
      <w:bookmarkEnd w:id="126"/>
    </w:p>
    <w:p w:rsidR="001F4AEE" w14:paraId="3C119485" w14:textId="77777777">
      <w:pPr>
        <w:pStyle w:val="TechnicalBookmark"/>
        <w:rPr>
          <w:lang w:val="fr-FR"/>
        </w:rPr>
      </w:pPr>
      <w:r>
        <w:rPr>
          <w:lang w:val="fr-FR"/>
        </w:rPr>
        <w:fldChar w:fldCharType="begin"/>
      </w:r>
      <w:r>
        <w:rPr>
          <w:lang w:val="fr-FR"/>
        </w:rPr>
        <w:instrText xml:space="preserve"> SET A1B9763F993D37927C4A613E96774392 "" </w:instrText>
      </w:r>
      <w:r>
        <w:rPr>
          <w:lang w:val="fr-FR"/>
        </w:rPr>
        <w:fldChar w:fldCharType="separate"/>
      </w:r>
      <w:bookmarkStart w:id="127" w:name="A1B9763F993D37927C4A613E96774392"/>
      <w:bookmarkEnd w:id="127"/>
      <w:r>
        <w:rPr>
          <w:lang w:val="fr-FR"/>
        </w:rPr>
        <w:fldChar w:fldCharType="end"/>
      </w:r>
    </w:p>
    <w:p w:rsidR="001F4AEE" w14:paraId="097B917B" w14:textId="77777777">
      <w:pPr>
        <w:pStyle w:val="TechnicalBookmark"/>
        <w:rPr>
          <w:lang w:val="fr-FR"/>
        </w:rPr>
      </w:pPr>
      <w:r>
        <w:rPr>
          <w:lang w:val="fr-FR"/>
        </w:rPr>
        <w:fldChar w:fldCharType="begin"/>
      </w:r>
      <w:r>
        <w:rPr>
          <w:lang w:val="fr-FR"/>
        </w:rPr>
        <w:instrText xml:space="preserve"> SET 27F3B4E02870461830F52B3078F3E27B "" </w:instrText>
      </w:r>
      <w:r>
        <w:rPr>
          <w:lang w:val="fr-FR"/>
        </w:rPr>
        <w:fldChar w:fldCharType="separate"/>
      </w:r>
      <w:bookmarkStart w:id="128" w:name="27F3B4E02870461830F52B3078F3E27B"/>
      <w:bookmarkEnd w:id="128"/>
      <w:r>
        <w:rPr>
          <w:lang w:val="fr-FR"/>
        </w:rPr>
        <w:fldChar w:fldCharType="end"/>
      </w:r>
    </w:p>
    <w:p w:rsidR="001F4AEE" w14:paraId="6488C305" w14:textId="77777777">
      <w:pPr>
        <w:pStyle w:val="H3"/>
        <w:rPr>
          <w:lang w:val="fr-FR"/>
        </w:rPr>
      </w:pPr>
      <w:r>
        <w:rPr>
          <w:lang w:val="fr-FR"/>
        </w:rPr>
        <w:t>Inventaire des instruments financiers à terme - actions</w:t>
      </w:r>
    </w:p>
    <w:p w:rsidR="001F4AEE" w14:paraId="6DAE7E84" w14:textId="77777777">
      <w:pPr>
        <w:pStyle w:val="RefToc3"/>
        <w:rPr>
          <w:lang w:val="fr-FR"/>
        </w:rPr>
      </w:pPr>
      <w:bookmarkStart w:id="129" w:name="BK_076B70EF94ED5E14EFC092E6E82AF18E"/>
      <w:bookmarkEnd w:id="129"/>
    </w:p>
    <w:p w:rsidR="001F4AEE" w14:paraId="5A3876C7" w14:textId="77777777">
      <w:pPr>
        <w:pStyle w:val="TechnicalBookmark"/>
        <w:rPr>
          <w:lang w:val="fr-FR"/>
        </w:rPr>
      </w:pPr>
      <w:r>
        <w:rPr>
          <w:lang w:val="fr-FR"/>
        </w:rPr>
        <w:fldChar w:fldCharType="begin"/>
      </w:r>
      <w:r>
        <w:rPr>
          <w:lang w:val="fr-FR"/>
        </w:rPr>
        <w:instrText xml:space="preserve"> SET EE333A90ED625FACCD90C4496817B0B5 "" </w:instrText>
      </w:r>
      <w:r>
        <w:rPr>
          <w:lang w:val="fr-FR"/>
        </w:rPr>
        <w:fldChar w:fldCharType="separate"/>
      </w:r>
      <w:bookmarkStart w:id="130" w:name="EE333A90ED625FACCD90C4496817B0B5"/>
      <w:bookmarkEnd w:id="130"/>
      <w:r>
        <w:rPr>
          <w:lang w:val="fr-FR"/>
        </w:rPr>
        <w:fldChar w:fldCharType="end"/>
      </w:r>
    </w:p>
    <w:p w:rsidR="001F4AEE" w14:paraId="43318EA1"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306C2EFC"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5F398443"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3C93ED02" w14:textId="77777777">
            <w:pPr>
              <w:pStyle w:val="EnteteTabMiddleColBordure"/>
              <w:spacing w:line="184" w:lineRule="exact"/>
              <w:rPr>
                <w:lang w:val="fr-FR"/>
              </w:rPr>
            </w:pPr>
            <w:r>
              <w:rPr>
                <w:lang w:val="fr-FR"/>
              </w:rPr>
              <w:t>Quantité ou</w:t>
            </w:r>
          </w:p>
          <w:p w:rsidR="001F4AEE" w14:paraId="11F84A6F"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7D4C3C98"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70BD7CDD" w14:textId="77777777">
            <w:pPr>
              <w:pStyle w:val="EnteteTabLastColBordure"/>
              <w:rPr>
                <w:lang w:val="fr-FR"/>
              </w:rPr>
            </w:pPr>
            <w:r>
              <w:rPr>
                <w:lang w:val="fr-FR"/>
              </w:rPr>
              <w:t>Montant de l'exposition (*)</w:t>
            </w:r>
          </w:p>
        </w:tc>
      </w:tr>
      <w:tr w14:paraId="191D0AA1"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1F4AEE" w14:paraId="41534766" w14:textId="77777777"/>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4AEE" w14:paraId="32E6E354" w14:textId="77777777"/>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EABEE19"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04DA1418"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3D419C7C" w14:textId="77777777">
            <w:pPr>
              <w:pStyle w:val="EnteteTabLastColBordure"/>
              <w:rPr>
                <w:lang w:val="fr-FR"/>
              </w:rPr>
            </w:pPr>
            <w:r>
              <w:rPr>
                <w:lang w:val="fr-FR"/>
              </w:rPr>
              <w:t>+/-</w:t>
            </w:r>
          </w:p>
        </w:tc>
      </w:tr>
      <w:tr w14:paraId="4CDB36E5"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1F4AEE" w14:paraId="0A2D8434"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F357DD5"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12291E09"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E7207F3"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07A7D677" w14:textId="77777777">
            <w:pPr>
              <w:pStyle w:val="Tab1LastColGras"/>
              <w:rPr>
                <w:sz w:val="0"/>
                <w:lang w:val="fr-FR"/>
              </w:rPr>
            </w:pPr>
          </w:p>
        </w:tc>
      </w:tr>
      <w:tr w14:paraId="4AE5093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10D5DAB7"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77346B0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0FBEA5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B5A58AF"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6409112E" w14:textId="77777777">
            <w:pPr>
              <w:pStyle w:val="Tab1LastColGrasNoContent"/>
              <w:rPr>
                <w:sz w:val="16"/>
                <w:lang w:val="fr-FR"/>
              </w:rPr>
            </w:pPr>
          </w:p>
        </w:tc>
      </w:tr>
      <w:tr w14:paraId="1BEDB60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4F9F9EAE" w14:textId="77777777">
            <w:pPr>
              <w:pStyle w:val="Tab3FirstColNonGras"/>
              <w:rPr>
                <w:lang w:val="fr-FR"/>
              </w:rPr>
            </w:pPr>
            <w:r>
              <w:rPr>
                <w:lang w:val="fr-FR"/>
              </w:rPr>
              <w:t>MSCI WORLD 10 0925</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1F4AEE" w14:paraId="39976449" w14:textId="77777777">
            <w:pPr>
              <w:pStyle w:val="Tab3MiddleColNonGras"/>
              <w:rPr>
                <w:lang w:val="fr-FR"/>
              </w:rPr>
            </w:pPr>
            <w:r>
              <w:rPr>
                <w:lang w:val="fr-FR"/>
              </w:rPr>
              <w:t>9</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1F4AEE" w14:paraId="7FEF0DA5" w14:textId="77777777">
            <w:pPr>
              <w:pStyle w:val="Tab3MiddleColNonGras"/>
              <w:rPr>
                <w:lang w:val="fr-FR"/>
              </w:rPr>
            </w:pPr>
            <w:r>
              <w:rPr>
                <w:lang w:val="fr-FR"/>
              </w:rPr>
              <w:t>25 288,20</w:t>
            </w:r>
          </w:p>
        </w:tc>
        <w:tc>
          <w:tcPr>
            <w:tcW w:w="1500" w:type="dxa"/>
            <w:tcBorders>
              <w:left w:val="single" w:sz="4" w:space="0" w:color="000000"/>
              <w:right w:val="single" w:sz="4" w:space="0" w:color="000000"/>
            </w:tcBorders>
            <w:tcMar>
              <w:top w:w="0" w:type="dxa"/>
              <w:left w:w="0" w:type="dxa"/>
              <w:bottom w:w="0" w:type="dxa"/>
              <w:right w:w="0" w:type="dxa"/>
            </w:tcMar>
            <w:vAlign w:val="center"/>
          </w:tcPr>
          <w:p w:rsidR="001F4AEE" w14:paraId="10EB7DF0" w14:textId="77777777">
            <w:pPr>
              <w:pStyle w:val="Tab3MiddleColNon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354B1191" w14:textId="77777777">
            <w:pPr>
              <w:pStyle w:val="Tab3LastColNonGras"/>
              <w:rPr>
                <w:lang w:val="fr-FR"/>
              </w:rPr>
            </w:pPr>
            <w:r>
              <w:rPr>
                <w:lang w:val="fr-FR"/>
              </w:rPr>
              <w:t>1 165 140,00</w:t>
            </w:r>
          </w:p>
        </w:tc>
      </w:tr>
      <w:tr w14:paraId="3D735694"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096DEA6A"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8C6A83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8313427" w14:textId="77777777">
            <w:pPr>
              <w:pStyle w:val="Tab1MiddleColGras"/>
              <w:rPr>
                <w:lang w:val="fr-FR"/>
              </w:rPr>
            </w:pPr>
            <w:r>
              <w:rPr>
                <w:lang w:val="fr-FR"/>
              </w:rPr>
              <w:t>25 288,20</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72AAB001"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192F0F86" w14:textId="77777777">
            <w:pPr>
              <w:pStyle w:val="Tab1LastColGras"/>
              <w:rPr>
                <w:lang w:val="fr-FR"/>
              </w:rPr>
            </w:pPr>
            <w:r>
              <w:rPr>
                <w:lang w:val="fr-FR"/>
              </w:rPr>
              <w:t>1 165 140,00</w:t>
            </w:r>
          </w:p>
        </w:tc>
      </w:tr>
      <w:tr w14:paraId="5F9707AE"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0CCD4FE0"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B7DEB4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68B74D9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B289B68"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3FDEC0CB" w14:textId="77777777">
            <w:pPr>
              <w:pStyle w:val="Tab1LastColGrasNoContent"/>
              <w:rPr>
                <w:sz w:val="16"/>
                <w:lang w:val="fr-FR"/>
              </w:rPr>
            </w:pPr>
          </w:p>
        </w:tc>
      </w:tr>
      <w:tr w14:paraId="1B4F783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400E998B"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B25429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F784D35"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536C67E"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11699A41" w14:textId="77777777">
            <w:pPr>
              <w:pStyle w:val="Tab1LastColGras"/>
              <w:rPr>
                <w:lang w:val="fr-FR"/>
              </w:rPr>
            </w:pPr>
            <w:r>
              <w:rPr>
                <w:lang w:val="fr-FR"/>
              </w:rPr>
              <w:t xml:space="preserve"> </w:t>
            </w:r>
          </w:p>
        </w:tc>
      </w:tr>
      <w:tr w14:paraId="3AE5110D"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52C3D68E"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E0AFA1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6297C3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08FB388"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63E748E9" w14:textId="77777777">
            <w:pPr>
              <w:pStyle w:val="Tab1LastColGrasNoContent"/>
              <w:rPr>
                <w:sz w:val="16"/>
                <w:lang w:val="fr-FR"/>
              </w:rPr>
            </w:pPr>
          </w:p>
        </w:tc>
      </w:tr>
      <w:tr w14:paraId="578719E2"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00CBE39D"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8E7A0E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9139CF9"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6079DB80"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3DE6BA55" w14:textId="77777777">
            <w:pPr>
              <w:pStyle w:val="Tab1LastColGras"/>
              <w:rPr>
                <w:lang w:val="fr-FR"/>
              </w:rPr>
            </w:pPr>
            <w:r>
              <w:rPr>
                <w:lang w:val="fr-FR"/>
              </w:rPr>
              <w:t xml:space="preserve"> </w:t>
            </w:r>
          </w:p>
        </w:tc>
      </w:tr>
      <w:tr w14:paraId="21F333D6"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74F8C61F"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6D576F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642BF1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9AAE1BB"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7BA271C3" w14:textId="77777777">
            <w:pPr>
              <w:pStyle w:val="Tab1LastColGrasNoContent"/>
              <w:rPr>
                <w:sz w:val="16"/>
                <w:lang w:val="fr-FR"/>
              </w:rPr>
            </w:pPr>
          </w:p>
        </w:tc>
      </w:tr>
      <w:tr w14:paraId="788269C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0A186519"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64EB271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C47108B"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D527C03"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206C5EED" w14:textId="77777777">
            <w:pPr>
              <w:pStyle w:val="Tab1LastColGras"/>
              <w:rPr>
                <w:lang w:val="fr-FR"/>
              </w:rPr>
            </w:pPr>
            <w:r>
              <w:rPr>
                <w:lang w:val="fr-FR"/>
              </w:rPr>
              <w:t xml:space="preserve"> </w:t>
            </w:r>
          </w:p>
        </w:tc>
      </w:tr>
      <w:tr w14:paraId="02CBCC27"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1F4AEE" w14:paraId="3E212CFF"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19C7F88C"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796D865"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60F863BF"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3417740C" w14:textId="77777777">
            <w:pPr>
              <w:pStyle w:val="Tab1LastColGras"/>
              <w:rPr>
                <w:sz w:val="0"/>
                <w:lang w:val="fr-FR"/>
              </w:rPr>
            </w:pPr>
          </w:p>
        </w:tc>
      </w:tr>
      <w:tr w14:paraId="2B21E97E"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1F4AEE" w14:paraId="5F6394D6"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0A51B714"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7BE942DE" w14:textId="77777777">
            <w:pPr>
              <w:pStyle w:val="TotalTabMiddleColBordure"/>
              <w:rPr>
                <w:lang w:val="fr-FR"/>
              </w:rPr>
            </w:pPr>
            <w:r>
              <w:rPr>
                <w:lang w:val="fr-FR"/>
              </w:rPr>
              <w:t>25 288,20</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3EB73F3A"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1F4AEE" w14:paraId="17016239" w14:textId="77777777">
            <w:pPr>
              <w:pStyle w:val="TotalTabLastColBordure"/>
              <w:rPr>
                <w:lang w:val="fr-FR"/>
              </w:rPr>
            </w:pPr>
            <w:r>
              <w:rPr>
                <w:lang w:val="fr-FR"/>
              </w:rPr>
              <w:t>1 165 140,00</w:t>
            </w:r>
          </w:p>
        </w:tc>
      </w:tr>
    </w:tbl>
    <w:p w:rsidR="001F4AEE" w14:paraId="4F0756DF" w14:textId="77777777">
      <w:pPr>
        <w:pStyle w:val="TechnicalBookmark"/>
        <w:rPr>
          <w:lang w:val="fr-FR"/>
        </w:rPr>
      </w:pPr>
    </w:p>
    <w:p w:rsidR="001F4AEE" w14:paraId="679C8984" w14:textId="77777777">
      <w:pPr>
        <w:pStyle w:val="TableNote"/>
        <w:spacing w:after="15"/>
        <w:rPr>
          <w:lang w:val="fr-FR"/>
        </w:rPr>
      </w:pPr>
      <w:r>
        <w:rPr>
          <w:lang w:val="fr-FR"/>
        </w:rPr>
        <w:t>(*) Montant déterminé selon les dispositions du règlement relatif à la présentation des expositions.</w:t>
      </w:r>
    </w:p>
    <w:p w:rsidR="001F4AEE" w14:paraId="7B548B5B" w14:textId="77777777">
      <w:pPr>
        <w:pStyle w:val="BreakLine"/>
        <w:rPr>
          <w:lang w:val="fr-FR"/>
        </w:rPr>
      </w:pPr>
      <w:r>
        <w:rPr>
          <w:lang w:val="fr-FR"/>
        </w:rPr>
        <w:t xml:space="preserve"> </w:t>
      </w:r>
    </w:p>
    <w:p w:rsidR="001F4AEE" w14:paraId="75730C4E" w14:textId="77777777">
      <w:pPr>
        <w:pStyle w:val="TechnicalBookmark"/>
        <w:rPr>
          <w:lang w:val="fr-FR"/>
        </w:rPr>
      </w:pPr>
      <w:r>
        <w:rPr>
          <w:lang w:val="fr-FR"/>
        </w:rPr>
        <w:fldChar w:fldCharType="begin"/>
      </w:r>
      <w:r>
        <w:rPr>
          <w:lang w:val="fr-FR"/>
        </w:rPr>
        <w:instrText xml:space="preserve"> SET AB7513B237ABD9FBB4AED052275703A5 "" </w:instrText>
      </w:r>
      <w:r>
        <w:rPr>
          <w:lang w:val="fr-FR"/>
        </w:rPr>
        <w:fldChar w:fldCharType="separate"/>
      </w:r>
      <w:bookmarkStart w:id="131" w:name="AB7513B237ABD9FBB4AED052275703A5"/>
      <w:bookmarkEnd w:id="131"/>
      <w:r>
        <w:rPr>
          <w:lang w:val="fr-FR"/>
        </w:rPr>
        <w:fldChar w:fldCharType="end"/>
      </w:r>
    </w:p>
    <w:p w:rsidR="001F4AEE" w14:paraId="59ABFC0E" w14:textId="77777777">
      <w:pPr>
        <w:pStyle w:val="H3SPACEBEFORE"/>
        <w:ind w:right="2400"/>
        <w:rPr>
          <w:lang w:val="fr-FR"/>
        </w:rPr>
      </w:pPr>
      <w:r>
        <w:rPr>
          <w:lang w:val="fr-FR"/>
        </w:rPr>
        <w:t>|</w:t>
      </w:r>
    </w:p>
    <w:p w:rsidR="001F4AEE" w14:paraId="35F17855" w14:textId="77777777">
      <w:pPr>
        <w:pStyle w:val="H3"/>
        <w:rPr>
          <w:lang w:val="fr-FR"/>
        </w:rPr>
      </w:pPr>
      <w:r>
        <w:rPr>
          <w:lang w:val="fr-FR"/>
        </w:rPr>
        <w:t>Inventaire des instruments financiers à terme - taux d'intérêts</w:t>
      </w:r>
    </w:p>
    <w:p w:rsidR="001F4AEE" w14:paraId="0BA22727" w14:textId="77777777">
      <w:pPr>
        <w:pStyle w:val="RefToc3"/>
        <w:rPr>
          <w:lang w:val="fr-FR"/>
        </w:rPr>
      </w:pPr>
      <w:bookmarkStart w:id="132" w:name="BK_50D0374DD67C5D063F249A3EDFF2A975"/>
      <w:bookmarkEnd w:id="132"/>
    </w:p>
    <w:p w:rsidR="001F4AEE" w14:paraId="66C4C793" w14:textId="77777777">
      <w:pPr>
        <w:pStyle w:val="TechnicalBookmark"/>
        <w:rPr>
          <w:lang w:val="fr-FR"/>
        </w:rPr>
      </w:pPr>
      <w:r>
        <w:rPr>
          <w:lang w:val="fr-FR"/>
        </w:rPr>
        <w:fldChar w:fldCharType="begin"/>
      </w:r>
      <w:r>
        <w:rPr>
          <w:lang w:val="fr-FR"/>
        </w:rPr>
        <w:instrText xml:space="preserve"> SET ECC2E77D63FF753E0841979F17D6593F "" </w:instrText>
      </w:r>
      <w:r>
        <w:rPr>
          <w:lang w:val="fr-FR"/>
        </w:rPr>
        <w:fldChar w:fldCharType="separate"/>
      </w:r>
      <w:bookmarkStart w:id="133" w:name="ECC2E77D63FF753E0841979F17D6593F"/>
      <w:bookmarkEnd w:id="133"/>
      <w:r>
        <w:rPr>
          <w:lang w:val="fr-FR"/>
        </w:rPr>
        <w:fldChar w:fldCharType="end"/>
      </w:r>
    </w:p>
    <w:p w:rsidR="001F4AEE" w14:paraId="26294C63"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7FC6BCA2"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196440B8"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361382A6" w14:textId="77777777">
            <w:pPr>
              <w:pStyle w:val="EnteteTabMiddleColBordure"/>
              <w:spacing w:line="184" w:lineRule="exact"/>
              <w:rPr>
                <w:lang w:val="fr-FR"/>
              </w:rPr>
            </w:pPr>
            <w:r>
              <w:rPr>
                <w:lang w:val="fr-FR"/>
              </w:rPr>
              <w:t>Quantité ou</w:t>
            </w:r>
          </w:p>
          <w:p w:rsidR="001F4AEE" w14:paraId="2587EFCD"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6B07489D"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11799145" w14:textId="77777777">
            <w:pPr>
              <w:pStyle w:val="EnteteTabLastColBordure"/>
              <w:rPr>
                <w:lang w:val="fr-FR"/>
              </w:rPr>
            </w:pPr>
            <w:r>
              <w:rPr>
                <w:lang w:val="fr-FR"/>
              </w:rPr>
              <w:t>Montant de l'exposition (*)</w:t>
            </w:r>
          </w:p>
        </w:tc>
      </w:tr>
      <w:tr w14:paraId="79579E0F"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1F4AEE" w14:paraId="063F9861" w14:textId="77777777"/>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4AEE" w14:paraId="50C568BA" w14:textId="77777777"/>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404F76D8"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438F1D0D"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645A5ABB" w14:textId="77777777">
            <w:pPr>
              <w:pStyle w:val="EnteteTabLastColBordure"/>
              <w:rPr>
                <w:lang w:val="fr-FR"/>
              </w:rPr>
            </w:pPr>
            <w:r>
              <w:rPr>
                <w:lang w:val="fr-FR"/>
              </w:rPr>
              <w:t>+/-</w:t>
            </w:r>
          </w:p>
        </w:tc>
      </w:tr>
      <w:tr w14:paraId="163BECA7"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1F4AEE" w14:paraId="31579565"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80B058F"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9E0E577"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3CFC7A5"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452ACE5F" w14:textId="77777777">
            <w:pPr>
              <w:pStyle w:val="Tab1LastColGras"/>
              <w:rPr>
                <w:sz w:val="0"/>
                <w:lang w:val="fr-FR"/>
              </w:rPr>
            </w:pPr>
          </w:p>
        </w:tc>
      </w:tr>
      <w:tr w14:paraId="76CB3DA6"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13F289DA"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A9F391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95E6A2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61BD7A7"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152CE7F4" w14:textId="77777777">
            <w:pPr>
              <w:pStyle w:val="Tab1LastColGrasNoContent"/>
              <w:rPr>
                <w:sz w:val="16"/>
                <w:lang w:val="fr-FR"/>
              </w:rPr>
            </w:pPr>
          </w:p>
        </w:tc>
      </w:tr>
      <w:tr w14:paraId="75D55A3B"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6E090A7B"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6BE3F03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2835E9A"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4D0EDB9"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7E3C9963" w14:textId="77777777">
            <w:pPr>
              <w:pStyle w:val="Tab1LastColGras"/>
              <w:rPr>
                <w:lang w:val="fr-FR"/>
              </w:rPr>
            </w:pPr>
            <w:r>
              <w:rPr>
                <w:lang w:val="fr-FR"/>
              </w:rPr>
              <w:t xml:space="preserve"> </w:t>
            </w:r>
          </w:p>
        </w:tc>
      </w:tr>
      <w:tr w14:paraId="2CC9E6D0"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14F37F99"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C72D54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C6D676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C23B281"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1083D688" w14:textId="77777777">
            <w:pPr>
              <w:pStyle w:val="Tab1LastColGrasNoContent"/>
              <w:rPr>
                <w:sz w:val="16"/>
                <w:lang w:val="fr-FR"/>
              </w:rPr>
            </w:pPr>
          </w:p>
        </w:tc>
      </w:tr>
      <w:tr w14:paraId="11D9E96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58A8975F"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6C4013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8703FF3"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5522F5C"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7CEFAD57" w14:textId="77777777">
            <w:pPr>
              <w:pStyle w:val="Tab1LastColGras"/>
              <w:rPr>
                <w:lang w:val="fr-FR"/>
              </w:rPr>
            </w:pPr>
            <w:r>
              <w:rPr>
                <w:lang w:val="fr-FR"/>
              </w:rPr>
              <w:t xml:space="preserve"> </w:t>
            </w:r>
          </w:p>
        </w:tc>
      </w:tr>
      <w:tr w14:paraId="5A0E4F5D"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6FDBE590"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6202BAA6"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1DBF5D8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173DB1C"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64A99D8E" w14:textId="77777777">
            <w:pPr>
              <w:pStyle w:val="Tab1LastColGrasNoContent"/>
              <w:rPr>
                <w:sz w:val="16"/>
                <w:lang w:val="fr-FR"/>
              </w:rPr>
            </w:pPr>
          </w:p>
        </w:tc>
      </w:tr>
      <w:tr w14:paraId="6DDD6971"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72078982"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633418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1766ABD8"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8DB4D57"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7032F492" w14:textId="77777777">
            <w:pPr>
              <w:pStyle w:val="Tab1LastColGras"/>
              <w:rPr>
                <w:lang w:val="fr-FR"/>
              </w:rPr>
            </w:pPr>
            <w:r>
              <w:rPr>
                <w:lang w:val="fr-FR"/>
              </w:rPr>
              <w:t xml:space="preserve"> </w:t>
            </w:r>
          </w:p>
        </w:tc>
      </w:tr>
      <w:tr w14:paraId="080B7D05"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6222FD2C"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73577B3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7E1DEA7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CB85475"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268CF122" w14:textId="77777777">
            <w:pPr>
              <w:pStyle w:val="Tab1LastColGrasNoContent"/>
              <w:rPr>
                <w:sz w:val="16"/>
                <w:lang w:val="fr-FR"/>
              </w:rPr>
            </w:pPr>
          </w:p>
        </w:tc>
      </w:tr>
      <w:tr w14:paraId="7D8D66B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3BC7F039"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057988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B82E9AD"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84B7701"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72212B77" w14:textId="77777777">
            <w:pPr>
              <w:pStyle w:val="Tab1LastColGras"/>
              <w:rPr>
                <w:lang w:val="fr-FR"/>
              </w:rPr>
            </w:pPr>
            <w:r>
              <w:rPr>
                <w:lang w:val="fr-FR"/>
              </w:rPr>
              <w:t xml:space="preserve"> </w:t>
            </w:r>
          </w:p>
        </w:tc>
      </w:tr>
      <w:tr w14:paraId="59B41230"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1F4AEE" w14:paraId="34AA8FAA"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E56391D"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1CD9C489"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69557BAE"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0F76C018" w14:textId="77777777">
            <w:pPr>
              <w:pStyle w:val="Tab1LastColGras"/>
              <w:rPr>
                <w:sz w:val="0"/>
                <w:lang w:val="fr-FR"/>
              </w:rPr>
            </w:pPr>
          </w:p>
        </w:tc>
      </w:tr>
      <w:tr w14:paraId="601335B0"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1F4AEE" w14:paraId="6C2AA17D"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3A822163"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2D4798E0"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2EC08EE9"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1F4AEE" w14:paraId="2C3749B3" w14:textId="77777777">
            <w:pPr>
              <w:pStyle w:val="TotalTabLastColBordure"/>
              <w:rPr>
                <w:lang w:val="fr-FR"/>
              </w:rPr>
            </w:pPr>
            <w:r>
              <w:rPr>
                <w:lang w:val="fr-FR"/>
              </w:rPr>
              <w:t xml:space="preserve"> </w:t>
            </w:r>
          </w:p>
        </w:tc>
      </w:tr>
    </w:tbl>
    <w:p w:rsidR="001F4AEE" w14:paraId="5BFF7CB9" w14:textId="77777777">
      <w:pPr>
        <w:pStyle w:val="TechnicalBookmark"/>
        <w:rPr>
          <w:lang w:val="fr-FR"/>
        </w:rPr>
      </w:pPr>
    </w:p>
    <w:p w:rsidR="001F4AEE" w14:paraId="7360B299" w14:textId="77777777">
      <w:pPr>
        <w:pStyle w:val="TableNote"/>
        <w:spacing w:after="15"/>
        <w:rPr>
          <w:lang w:val="fr-FR"/>
        </w:rPr>
      </w:pPr>
      <w:r>
        <w:rPr>
          <w:lang w:val="fr-FR"/>
        </w:rPr>
        <w:t>(*) Montant déterminé selon les dispositions du règlement relatif à la présentation des expositions.</w:t>
      </w:r>
    </w:p>
    <w:p w:rsidR="001F4AEE" w14:paraId="5FB09F47" w14:textId="77777777">
      <w:pPr>
        <w:pStyle w:val="BreakLine"/>
        <w:rPr>
          <w:lang w:val="fr-FR"/>
        </w:rPr>
        <w:sectPr>
          <w:headerReference w:type="default" r:id="rId66"/>
          <w:footerReference w:type="default" r:id="rId67"/>
          <w:pgSz w:w="11900" w:h="16840"/>
          <w:pgMar w:top="2154" w:right="1134" w:bottom="1134" w:left="1134" w:header="400" w:footer="400" w:gutter="0"/>
          <w:cols w:space="720"/>
        </w:sectPr>
      </w:pPr>
      <w:r>
        <w:rPr>
          <w:lang w:val="fr-FR"/>
        </w:rPr>
        <w:t xml:space="preserve"> </w:t>
      </w:r>
      <w:r>
        <w:rPr>
          <w:lang w:val="fr-FR"/>
        </w:rPr>
        <w:cr/>
      </w:r>
    </w:p>
    <w:p w:rsidR="001F4AEE" w:rsidRPr="00D61EB0" w14:paraId="15DB3ED6" w14:textId="77777777">
      <w:pPr>
        <w:spacing w:line="45" w:lineRule="exact"/>
        <w:rPr>
          <w:sz w:val="5"/>
          <w:lang w:val="fr-FR"/>
        </w:rPr>
      </w:pPr>
    </w:p>
    <w:p w:rsidR="001F4AEE" w14:paraId="17065BA1" w14:textId="77777777">
      <w:pPr>
        <w:pStyle w:val="TechnicalBookmark"/>
        <w:rPr>
          <w:lang w:val="fr-FR"/>
        </w:rPr>
      </w:pPr>
      <w:r>
        <w:rPr>
          <w:lang w:val="fr-FR"/>
        </w:rPr>
        <w:fldChar w:fldCharType="begin"/>
      </w:r>
      <w:r>
        <w:rPr>
          <w:lang w:val="fr-FR"/>
        </w:rPr>
        <w:instrText xml:space="preserve"> SET 984CF3DA4758C87EBCBF286A4CC2E4F5 "" </w:instrText>
      </w:r>
      <w:r>
        <w:rPr>
          <w:lang w:val="fr-FR"/>
        </w:rPr>
        <w:fldChar w:fldCharType="separate"/>
      </w:r>
      <w:bookmarkStart w:id="134" w:name="984CF3DA4758C87EBCBF286A4CC2E4F5"/>
      <w:bookmarkEnd w:id="134"/>
      <w:r>
        <w:rPr>
          <w:lang w:val="fr-FR"/>
        </w:rPr>
        <w:fldChar w:fldCharType="end"/>
      </w:r>
    </w:p>
    <w:p w:rsidR="001F4AEE" w14:paraId="69F5F8B1" w14:textId="77777777">
      <w:pPr>
        <w:pStyle w:val="H3"/>
        <w:rPr>
          <w:lang w:val="fr-FR"/>
        </w:rPr>
      </w:pPr>
      <w:r>
        <w:rPr>
          <w:lang w:val="fr-FR"/>
        </w:rPr>
        <w:t>Inventaire des instruments financiers à terme - de change</w:t>
      </w:r>
    </w:p>
    <w:p w:rsidR="001F4AEE" w14:paraId="1C5289E6" w14:textId="77777777">
      <w:pPr>
        <w:pStyle w:val="RefToc3"/>
        <w:rPr>
          <w:lang w:val="fr-FR"/>
        </w:rPr>
      </w:pPr>
      <w:bookmarkStart w:id="135" w:name="BK_D1DBB0090EFFF9472A3CEA461668F519"/>
      <w:bookmarkEnd w:id="135"/>
    </w:p>
    <w:p w:rsidR="001F4AEE" w14:paraId="2581101A" w14:textId="77777777">
      <w:pPr>
        <w:pStyle w:val="TechnicalBookmark"/>
        <w:rPr>
          <w:lang w:val="fr-FR"/>
        </w:rPr>
      </w:pPr>
      <w:r>
        <w:rPr>
          <w:lang w:val="fr-FR"/>
        </w:rPr>
        <w:fldChar w:fldCharType="begin"/>
      </w:r>
      <w:r>
        <w:rPr>
          <w:lang w:val="fr-FR"/>
        </w:rPr>
        <w:instrText xml:space="preserve"> SET C4058AF93400DE7F04C8BF53A8E2AA54 "" </w:instrText>
      </w:r>
      <w:r>
        <w:rPr>
          <w:lang w:val="fr-FR"/>
        </w:rPr>
        <w:fldChar w:fldCharType="separate"/>
      </w:r>
      <w:bookmarkStart w:id="136" w:name="C4058AF93400DE7F04C8BF53A8E2AA54"/>
      <w:bookmarkEnd w:id="136"/>
      <w:r>
        <w:rPr>
          <w:lang w:val="fr-FR"/>
        </w:rPr>
        <w:fldChar w:fldCharType="end"/>
      </w:r>
    </w:p>
    <w:p w:rsidR="001F4AEE" w14:paraId="63537D3A"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01D130F9"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14F7F45D"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0766428B" w14:textId="77777777">
            <w:pPr>
              <w:pStyle w:val="EnteteTabMiddleColBordure"/>
              <w:spacing w:line="184" w:lineRule="exact"/>
              <w:rPr>
                <w:lang w:val="fr-FR"/>
              </w:rPr>
            </w:pPr>
            <w:r>
              <w:rPr>
                <w:lang w:val="fr-FR"/>
              </w:rPr>
              <w:t>Quantité ou</w:t>
            </w:r>
          </w:p>
          <w:p w:rsidR="001F4AEE" w14:paraId="79138F28"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7E67E85D"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734A3B48" w14:textId="77777777">
            <w:pPr>
              <w:pStyle w:val="EnteteTabLastColBordure"/>
              <w:rPr>
                <w:lang w:val="fr-FR"/>
              </w:rPr>
            </w:pPr>
            <w:r>
              <w:rPr>
                <w:lang w:val="fr-FR"/>
              </w:rPr>
              <w:t>Montant de l'exposition (*)</w:t>
            </w:r>
          </w:p>
        </w:tc>
      </w:tr>
      <w:tr w14:paraId="587EC216"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1F4AEE" w14:paraId="51505EA7" w14:textId="77777777"/>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4AEE" w14:paraId="134C0E3B" w14:textId="77777777"/>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67CAA494"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6418B5FA"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230A2D76" w14:textId="77777777">
            <w:pPr>
              <w:pStyle w:val="EnteteTabLastColBordure"/>
              <w:rPr>
                <w:lang w:val="fr-FR"/>
              </w:rPr>
            </w:pPr>
            <w:r>
              <w:rPr>
                <w:lang w:val="fr-FR"/>
              </w:rPr>
              <w:t>+/-</w:t>
            </w:r>
          </w:p>
        </w:tc>
      </w:tr>
      <w:tr w14:paraId="026E61BF"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1F4AEE" w14:paraId="11E8A501"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50ED721"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55FD691"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8B760C1"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7E078B0D" w14:textId="77777777">
            <w:pPr>
              <w:pStyle w:val="Tab1LastColGras"/>
              <w:rPr>
                <w:sz w:val="0"/>
                <w:lang w:val="fr-FR"/>
              </w:rPr>
            </w:pPr>
          </w:p>
        </w:tc>
      </w:tr>
      <w:tr w14:paraId="14B60830"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5FA87EC7"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E14807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390725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677EBCFB"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0424D96E" w14:textId="77777777">
            <w:pPr>
              <w:pStyle w:val="Tab1LastColGrasNoContent"/>
              <w:rPr>
                <w:sz w:val="16"/>
                <w:lang w:val="fr-FR"/>
              </w:rPr>
            </w:pPr>
          </w:p>
        </w:tc>
      </w:tr>
      <w:tr w14:paraId="30E47734"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2664C7E5"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355675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7E6A7BEC"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6210E96"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4D397904" w14:textId="77777777">
            <w:pPr>
              <w:pStyle w:val="Tab1LastColGras"/>
              <w:rPr>
                <w:lang w:val="fr-FR"/>
              </w:rPr>
            </w:pPr>
            <w:r>
              <w:rPr>
                <w:lang w:val="fr-FR"/>
              </w:rPr>
              <w:t xml:space="preserve"> </w:t>
            </w:r>
          </w:p>
        </w:tc>
      </w:tr>
      <w:tr w14:paraId="26F6864F"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47BDDD2F"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9DB1F0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641356A"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EAB0B5C"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12DF98D3" w14:textId="77777777">
            <w:pPr>
              <w:pStyle w:val="Tab1LastColGrasNoContent"/>
              <w:rPr>
                <w:sz w:val="16"/>
                <w:lang w:val="fr-FR"/>
              </w:rPr>
            </w:pPr>
          </w:p>
        </w:tc>
      </w:tr>
      <w:tr w14:paraId="54240D97"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5A8B4C41"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CF9455D"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71E6BBE7"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BC372D2"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5418BD53" w14:textId="77777777">
            <w:pPr>
              <w:pStyle w:val="Tab1LastColGras"/>
              <w:rPr>
                <w:lang w:val="fr-FR"/>
              </w:rPr>
            </w:pPr>
            <w:r>
              <w:rPr>
                <w:lang w:val="fr-FR"/>
              </w:rPr>
              <w:t xml:space="preserve"> </w:t>
            </w:r>
          </w:p>
        </w:tc>
      </w:tr>
      <w:tr w14:paraId="6C8099E1"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062A3E0A"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1D9AB37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2E4A28B"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83C8A0F"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358939F1" w14:textId="77777777">
            <w:pPr>
              <w:pStyle w:val="Tab1LastColGrasNoContent"/>
              <w:rPr>
                <w:sz w:val="16"/>
                <w:lang w:val="fr-FR"/>
              </w:rPr>
            </w:pPr>
          </w:p>
        </w:tc>
      </w:tr>
      <w:tr w14:paraId="56048F3A"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1C9C49F2"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2CD907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132C3758"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253E617"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07AEBFE6" w14:textId="77777777">
            <w:pPr>
              <w:pStyle w:val="Tab1LastColGras"/>
              <w:rPr>
                <w:lang w:val="fr-FR"/>
              </w:rPr>
            </w:pPr>
            <w:r>
              <w:rPr>
                <w:lang w:val="fr-FR"/>
              </w:rPr>
              <w:t xml:space="preserve"> </w:t>
            </w:r>
          </w:p>
        </w:tc>
      </w:tr>
      <w:tr w14:paraId="211F6980"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07F79883"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0A2976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897450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1E3EF123"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6FB580E9" w14:textId="77777777">
            <w:pPr>
              <w:pStyle w:val="Tab1LastColGrasNoContent"/>
              <w:rPr>
                <w:sz w:val="16"/>
                <w:lang w:val="fr-FR"/>
              </w:rPr>
            </w:pPr>
          </w:p>
        </w:tc>
      </w:tr>
      <w:tr w14:paraId="7E684760"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4D1F1AE8"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D58141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7707A014"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7A95046A"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41D75F1A" w14:textId="77777777">
            <w:pPr>
              <w:pStyle w:val="Tab1LastColGras"/>
              <w:rPr>
                <w:lang w:val="fr-FR"/>
              </w:rPr>
            </w:pPr>
            <w:r>
              <w:rPr>
                <w:lang w:val="fr-FR"/>
              </w:rPr>
              <w:t xml:space="preserve"> </w:t>
            </w:r>
          </w:p>
        </w:tc>
      </w:tr>
      <w:tr w14:paraId="7CA3D3E2"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1F4AEE" w14:paraId="01873367"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ACB9DE8"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0759C8F"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B03DFA2"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4EA720D8" w14:textId="77777777">
            <w:pPr>
              <w:pStyle w:val="Tab1LastColGras"/>
              <w:rPr>
                <w:sz w:val="0"/>
                <w:lang w:val="fr-FR"/>
              </w:rPr>
            </w:pPr>
          </w:p>
        </w:tc>
      </w:tr>
      <w:tr w14:paraId="7576F1AD"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1F4AEE" w14:paraId="34048801"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2CE24E6E"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00E7910E"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4EB47750"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1F4AEE" w14:paraId="7C521EDD" w14:textId="77777777">
            <w:pPr>
              <w:pStyle w:val="TotalTabLastColBordure"/>
              <w:rPr>
                <w:lang w:val="fr-FR"/>
              </w:rPr>
            </w:pPr>
            <w:r>
              <w:rPr>
                <w:lang w:val="fr-FR"/>
              </w:rPr>
              <w:t xml:space="preserve"> </w:t>
            </w:r>
          </w:p>
        </w:tc>
      </w:tr>
    </w:tbl>
    <w:p w:rsidR="001F4AEE" w14:paraId="6F22818A" w14:textId="77777777">
      <w:pPr>
        <w:pStyle w:val="TechnicalBookmark"/>
        <w:rPr>
          <w:lang w:val="fr-FR"/>
        </w:rPr>
      </w:pPr>
    </w:p>
    <w:p w:rsidR="001F4AEE" w14:paraId="19D0898A" w14:textId="77777777">
      <w:pPr>
        <w:pStyle w:val="TableNote"/>
        <w:spacing w:after="15"/>
        <w:rPr>
          <w:lang w:val="fr-FR"/>
        </w:rPr>
      </w:pPr>
      <w:r>
        <w:rPr>
          <w:lang w:val="fr-FR"/>
        </w:rPr>
        <w:t>(*) Montant déterminé selon les dispositions du règlement relatif à la présentation des expositions.</w:t>
      </w:r>
    </w:p>
    <w:p w:rsidR="001F4AEE" w14:paraId="70393717" w14:textId="77777777">
      <w:pPr>
        <w:pStyle w:val="BreakLine"/>
        <w:rPr>
          <w:lang w:val="fr-FR"/>
        </w:rPr>
      </w:pPr>
      <w:r>
        <w:rPr>
          <w:lang w:val="fr-FR"/>
        </w:rPr>
        <w:t xml:space="preserve"> </w:t>
      </w:r>
    </w:p>
    <w:p w:rsidR="001F4AEE" w14:paraId="5E0363E4" w14:textId="77777777">
      <w:pPr>
        <w:pStyle w:val="TechnicalBookmark"/>
        <w:rPr>
          <w:lang w:val="fr-FR"/>
        </w:rPr>
      </w:pPr>
      <w:r>
        <w:rPr>
          <w:lang w:val="fr-FR"/>
        </w:rPr>
        <w:fldChar w:fldCharType="begin"/>
      </w:r>
      <w:r>
        <w:rPr>
          <w:lang w:val="fr-FR"/>
        </w:rPr>
        <w:instrText xml:space="preserve"> SET E7B0ACE783FCDCC73C915E776FFAA463 "" </w:instrText>
      </w:r>
      <w:r>
        <w:rPr>
          <w:lang w:val="fr-FR"/>
        </w:rPr>
        <w:fldChar w:fldCharType="separate"/>
      </w:r>
      <w:bookmarkStart w:id="137" w:name="E7B0ACE783FCDCC73C915E776FFAA463"/>
      <w:bookmarkEnd w:id="137"/>
      <w:r>
        <w:rPr>
          <w:lang w:val="fr-FR"/>
        </w:rPr>
        <w:fldChar w:fldCharType="end"/>
      </w:r>
    </w:p>
    <w:p w:rsidR="001F4AEE" w14:paraId="431C0974" w14:textId="77777777">
      <w:pPr>
        <w:pStyle w:val="H3SPACEBEFORE"/>
        <w:ind w:right="2400"/>
        <w:rPr>
          <w:lang w:val="fr-FR"/>
        </w:rPr>
      </w:pPr>
      <w:r>
        <w:rPr>
          <w:lang w:val="fr-FR"/>
        </w:rPr>
        <w:t>|</w:t>
      </w:r>
    </w:p>
    <w:p w:rsidR="001F4AEE" w14:paraId="25A38900" w14:textId="77777777">
      <w:pPr>
        <w:pStyle w:val="H3"/>
        <w:rPr>
          <w:lang w:val="fr-FR"/>
        </w:rPr>
      </w:pPr>
      <w:r>
        <w:rPr>
          <w:lang w:val="fr-FR"/>
        </w:rPr>
        <w:t>Inventaire des instruments financiers à terme - sur risque de crédit</w:t>
      </w:r>
    </w:p>
    <w:p w:rsidR="001F4AEE" w14:paraId="0DCB8105" w14:textId="77777777">
      <w:pPr>
        <w:pStyle w:val="RefToc3"/>
        <w:rPr>
          <w:lang w:val="fr-FR"/>
        </w:rPr>
      </w:pPr>
      <w:bookmarkStart w:id="138" w:name="BK_96680C270605004AD36D0104F28B86E1"/>
      <w:bookmarkEnd w:id="138"/>
    </w:p>
    <w:p w:rsidR="001F4AEE" w14:paraId="53216340" w14:textId="77777777">
      <w:pPr>
        <w:pStyle w:val="TechnicalBookmark"/>
        <w:rPr>
          <w:lang w:val="fr-FR"/>
        </w:rPr>
      </w:pPr>
      <w:r>
        <w:rPr>
          <w:lang w:val="fr-FR"/>
        </w:rPr>
        <w:fldChar w:fldCharType="begin"/>
      </w:r>
      <w:r>
        <w:rPr>
          <w:lang w:val="fr-FR"/>
        </w:rPr>
        <w:instrText xml:space="preserve"> SET E5D43D077942B5A94228ED7963157B92 "" </w:instrText>
      </w:r>
      <w:r>
        <w:rPr>
          <w:lang w:val="fr-FR"/>
        </w:rPr>
        <w:fldChar w:fldCharType="separate"/>
      </w:r>
      <w:bookmarkStart w:id="139" w:name="E5D43D077942B5A94228ED7963157B92"/>
      <w:bookmarkEnd w:id="139"/>
      <w:r>
        <w:rPr>
          <w:lang w:val="fr-FR"/>
        </w:rPr>
        <w:fldChar w:fldCharType="end"/>
      </w:r>
    </w:p>
    <w:p w:rsidR="001F4AEE" w14:paraId="42E95E33"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4A70CE41"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0DCF9D1A"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70CAA85D" w14:textId="77777777">
            <w:pPr>
              <w:pStyle w:val="EnteteTabMiddleColBordure"/>
              <w:spacing w:line="184" w:lineRule="exact"/>
              <w:rPr>
                <w:lang w:val="fr-FR"/>
              </w:rPr>
            </w:pPr>
            <w:r>
              <w:rPr>
                <w:lang w:val="fr-FR"/>
              </w:rPr>
              <w:t>Quantité ou</w:t>
            </w:r>
          </w:p>
          <w:p w:rsidR="001F4AEE" w14:paraId="29A9E149"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75347DC4"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79C9B6A5" w14:textId="77777777">
            <w:pPr>
              <w:pStyle w:val="EnteteTabLastColBordure"/>
              <w:rPr>
                <w:lang w:val="fr-FR"/>
              </w:rPr>
            </w:pPr>
            <w:r>
              <w:rPr>
                <w:lang w:val="fr-FR"/>
              </w:rPr>
              <w:t>Montant de l'exposition (*)</w:t>
            </w:r>
          </w:p>
        </w:tc>
      </w:tr>
      <w:tr w14:paraId="39626274"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1F4AEE" w14:paraId="64A56642" w14:textId="77777777"/>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4AEE" w14:paraId="3850D93B" w14:textId="77777777"/>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10AA6B74"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74E8EB66"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269B92FB" w14:textId="77777777">
            <w:pPr>
              <w:pStyle w:val="EnteteTabLastColBordure"/>
              <w:rPr>
                <w:lang w:val="fr-FR"/>
              </w:rPr>
            </w:pPr>
            <w:r>
              <w:rPr>
                <w:lang w:val="fr-FR"/>
              </w:rPr>
              <w:t>+/-</w:t>
            </w:r>
          </w:p>
        </w:tc>
      </w:tr>
      <w:tr w14:paraId="765242CF"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1F4AEE" w14:paraId="0E67C99F"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EAE8532"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8389DFD"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F11D00C"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29672DBC" w14:textId="77777777">
            <w:pPr>
              <w:pStyle w:val="Tab1LastColGras"/>
              <w:rPr>
                <w:sz w:val="0"/>
                <w:lang w:val="fr-FR"/>
              </w:rPr>
            </w:pPr>
          </w:p>
        </w:tc>
      </w:tr>
      <w:tr w14:paraId="3BB6084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4CDA0445"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62E2BBA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F4702A4"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23D0DCA"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0B46F1C7" w14:textId="77777777">
            <w:pPr>
              <w:pStyle w:val="Tab1LastColGrasNoContent"/>
              <w:rPr>
                <w:sz w:val="16"/>
                <w:lang w:val="fr-FR"/>
              </w:rPr>
            </w:pPr>
          </w:p>
        </w:tc>
      </w:tr>
      <w:tr w14:paraId="5CDAD7DC"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51687358"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F1DD1D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608A510"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4B11CDF"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09AD6A7C" w14:textId="77777777">
            <w:pPr>
              <w:pStyle w:val="Tab1LastColGras"/>
              <w:rPr>
                <w:lang w:val="fr-FR"/>
              </w:rPr>
            </w:pPr>
            <w:r>
              <w:rPr>
                <w:lang w:val="fr-FR"/>
              </w:rPr>
              <w:t xml:space="preserve"> </w:t>
            </w:r>
          </w:p>
        </w:tc>
      </w:tr>
      <w:tr w14:paraId="15C94AD4"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5297F155"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A121EA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142DA45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6054FC7"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04D26069" w14:textId="77777777">
            <w:pPr>
              <w:pStyle w:val="Tab1LastColGrasNoContent"/>
              <w:rPr>
                <w:sz w:val="16"/>
                <w:lang w:val="fr-FR"/>
              </w:rPr>
            </w:pPr>
          </w:p>
        </w:tc>
      </w:tr>
      <w:tr w14:paraId="2D0A6D43"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664860B5"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1B2FAB7"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A48F4BA"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6BE170E4"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42B4CC32" w14:textId="77777777">
            <w:pPr>
              <w:pStyle w:val="Tab1LastColGras"/>
              <w:rPr>
                <w:lang w:val="fr-FR"/>
              </w:rPr>
            </w:pPr>
            <w:r>
              <w:rPr>
                <w:lang w:val="fr-FR"/>
              </w:rPr>
              <w:t xml:space="preserve"> </w:t>
            </w:r>
          </w:p>
        </w:tc>
      </w:tr>
      <w:tr w14:paraId="5B529E71"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040E67AE"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7AC248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6201155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E9DB34E"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62F49059" w14:textId="77777777">
            <w:pPr>
              <w:pStyle w:val="Tab1LastColGrasNoContent"/>
              <w:rPr>
                <w:sz w:val="16"/>
                <w:lang w:val="fr-FR"/>
              </w:rPr>
            </w:pPr>
          </w:p>
        </w:tc>
      </w:tr>
      <w:tr w14:paraId="02A36AD1"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0B953569"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762EC73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7B9EAE60"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119487B2"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0A268405" w14:textId="77777777">
            <w:pPr>
              <w:pStyle w:val="Tab1LastColGras"/>
              <w:rPr>
                <w:lang w:val="fr-FR"/>
              </w:rPr>
            </w:pPr>
            <w:r>
              <w:rPr>
                <w:lang w:val="fr-FR"/>
              </w:rPr>
              <w:t xml:space="preserve"> </w:t>
            </w:r>
          </w:p>
        </w:tc>
      </w:tr>
      <w:tr w14:paraId="2CFF8414"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524593D7"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24576A0"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DE4A899"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824D291"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17AEEE7A" w14:textId="77777777">
            <w:pPr>
              <w:pStyle w:val="Tab1LastColGrasNoContent"/>
              <w:rPr>
                <w:sz w:val="16"/>
                <w:lang w:val="fr-FR"/>
              </w:rPr>
            </w:pPr>
          </w:p>
        </w:tc>
      </w:tr>
      <w:tr w14:paraId="1BFE0ADC"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617AD139"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FB96F5E"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7F2460F"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4769048"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4389E409" w14:textId="77777777">
            <w:pPr>
              <w:pStyle w:val="Tab1LastColGras"/>
              <w:rPr>
                <w:lang w:val="fr-FR"/>
              </w:rPr>
            </w:pPr>
            <w:r>
              <w:rPr>
                <w:lang w:val="fr-FR"/>
              </w:rPr>
              <w:t xml:space="preserve"> </w:t>
            </w:r>
          </w:p>
        </w:tc>
      </w:tr>
      <w:tr w14:paraId="5C4E51E7"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1F4AEE" w14:paraId="7BF34860"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F2C7C64"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8ACE95D"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C8150E2"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58089523" w14:textId="77777777">
            <w:pPr>
              <w:pStyle w:val="Tab1LastColGras"/>
              <w:rPr>
                <w:sz w:val="0"/>
                <w:lang w:val="fr-FR"/>
              </w:rPr>
            </w:pPr>
          </w:p>
        </w:tc>
      </w:tr>
      <w:tr w14:paraId="0E57F951"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1F4AEE" w14:paraId="43A9043A"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461401D5"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08971D47"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284AD88E"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1F4AEE" w14:paraId="5A62760F" w14:textId="77777777">
            <w:pPr>
              <w:pStyle w:val="TotalTabLastColBordure"/>
              <w:rPr>
                <w:lang w:val="fr-FR"/>
              </w:rPr>
            </w:pPr>
            <w:r>
              <w:rPr>
                <w:lang w:val="fr-FR"/>
              </w:rPr>
              <w:t xml:space="preserve"> </w:t>
            </w:r>
          </w:p>
        </w:tc>
      </w:tr>
    </w:tbl>
    <w:p w:rsidR="001F4AEE" w14:paraId="60044010" w14:textId="77777777">
      <w:pPr>
        <w:pStyle w:val="TechnicalBookmark"/>
        <w:rPr>
          <w:lang w:val="fr-FR"/>
        </w:rPr>
      </w:pPr>
    </w:p>
    <w:p w:rsidR="001F4AEE" w14:paraId="1E1A8307" w14:textId="77777777">
      <w:pPr>
        <w:pStyle w:val="TableNote"/>
        <w:spacing w:after="15"/>
        <w:rPr>
          <w:lang w:val="fr-FR"/>
        </w:rPr>
      </w:pPr>
      <w:r>
        <w:rPr>
          <w:lang w:val="fr-FR"/>
        </w:rPr>
        <w:t>(*) Montant déterminé selon les dispositions du règlement relatif à la présentation des expositions.</w:t>
      </w:r>
    </w:p>
    <w:p w:rsidR="001F4AEE" w14:paraId="7A215584" w14:textId="77777777">
      <w:pPr>
        <w:pStyle w:val="BreakLine"/>
        <w:rPr>
          <w:lang w:val="fr-FR"/>
        </w:rPr>
        <w:sectPr>
          <w:headerReference w:type="default" r:id="rId68"/>
          <w:footerReference w:type="default" r:id="rId69"/>
          <w:pgSz w:w="11900" w:h="16840"/>
          <w:pgMar w:top="2154" w:right="1134" w:bottom="1134" w:left="1134" w:header="400" w:footer="400" w:gutter="0"/>
          <w:cols w:space="720"/>
        </w:sectPr>
      </w:pPr>
      <w:r>
        <w:rPr>
          <w:lang w:val="fr-FR"/>
        </w:rPr>
        <w:t xml:space="preserve"> </w:t>
      </w:r>
      <w:r>
        <w:rPr>
          <w:lang w:val="fr-FR"/>
        </w:rPr>
        <w:cr/>
      </w:r>
    </w:p>
    <w:p w:rsidR="001F4AEE" w:rsidRPr="00D61EB0" w14:paraId="6BDAAF13" w14:textId="77777777">
      <w:pPr>
        <w:spacing w:line="45" w:lineRule="exact"/>
        <w:rPr>
          <w:sz w:val="5"/>
          <w:lang w:val="fr-FR"/>
        </w:rPr>
      </w:pPr>
    </w:p>
    <w:p w:rsidR="001F4AEE" w14:paraId="3F7B4B23" w14:textId="77777777">
      <w:pPr>
        <w:pStyle w:val="TechnicalBookmark"/>
        <w:rPr>
          <w:lang w:val="fr-FR"/>
        </w:rPr>
      </w:pPr>
      <w:r>
        <w:rPr>
          <w:lang w:val="fr-FR"/>
        </w:rPr>
        <w:fldChar w:fldCharType="begin"/>
      </w:r>
      <w:r>
        <w:rPr>
          <w:lang w:val="fr-FR"/>
        </w:rPr>
        <w:instrText xml:space="preserve"> SET 8E28EEB8A1BCBF354BAAEEBD915CA03E "" </w:instrText>
      </w:r>
      <w:r>
        <w:rPr>
          <w:lang w:val="fr-FR"/>
        </w:rPr>
        <w:fldChar w:fldCharType="separate"/>
      </w:r>
      <w:bookmarkStart w:id="140" w:name="8E28EEB8A1BCBF354BAAEEBD915CA03E"/>
      <w:bookmarkEnd w:id="140"/>
      <w:r>
        <w:rPr>
          <w:lang w:val="fr-FR"/>
        </w:rPr>
        <w:fldChar w:fldCharType="end"/>
      </w:r>
    </w:p>
    <w:p w:rsidR="001F4AEE" w14:paraId="77FE5275" w14:textId="77777777">
      <w:pPr>
        <w:pStyle w:val="H3"/>
        <w:rPr>
          <w:lang w:val="fr-FR"/>
        </w:rPr>
      </w:pPr>
      <w:r>
        <w:rPr>
          <w:lang w:val="fr-FR"/>
        </w:rPr>
        <w:t>Inventaire des instruments financiers à terme - autres expositions</w:t>
      </w:r>
    </w:p>
    <w:p w:rsidR="001F4AEE" w14:paraId="72AE3D0D" w14:textId="77777777">
      <w:pPr>
        <w:pStyle w:val="RefToc3"/>
        <w:rPr>
          <w:lang w:val="fr-FR"/>
        </w:rPr>
      </w:pPr>
      <w:bookmarkStart w:id="141" w:name="BK_8A483C0F0F6DCF7D8D837158B9A9BC35"/>
      <w:bookmarkEnd w:id="141"/>
    </w:p>
    <w:p w:rsidR="001F4AEE" w14:paraId="216900F4" w14:textId="77777777">
      <w:pPr>
        <w:pStyle w:val="TechnicalBookmark"/>
        <w:rPr>
          <w:lang w:val="fr-FR"/>
        </w:rPr>
      </w:pPr>
      <w:r>
        <w:rPr>
          <w:lang w:val="fr-FR"/>
        </w:rPr>
        <w:fldChar w:fldCharType="begin"/>
      </w:r>
      <w:r>
        <w:rPr>
          <w:lang w:val="fr-FR"/>
        </w:rPr>
        <w:instrText xml:space="preserve"> SET 099FB29F421B97FCE756E6DD9A118D26 "" </w:instrText>
      </w:r>
      <w:r>
        <w:rPr>
          <w:lang w:val="fr-FR"/>
        </w:rPr>
        <w:fldChar w:fldCharType="separate"/>
      </w:r>
      <w:bookmarkStart w:id="142" w:name="099FB29F421B97FCE756E6DD9A118D26"/>
      <w:bookmarkEnd w:id="142"/>
      <w:r>
        <w:rPr>
          <w:lang w:val="fr-FR"/>
        </w:rPr>
        <w:fldChar w:fldCharType="end"/>
      </w:r>
    </w:p>
    <w:p w:rsidR="001F4AEE" w14:paraId="54565367" w14:textId="77777777">
      <w:pPr>
        <w:pStyle w:val="TechnicalBookmark"/>
        <w:rPr>
          <w:lang w:val="fr-FR"/>
        </w:rPr>
      </w:pPr>
    </w:p>
    <w:tbl>
      <w:tblPr>
        <w:tblW w:w="5000" w:type="pct"/>
        <w:tblBorders>
          <w:bottom w:val="single" w:sz="4" w:space="0" w:color="000000"/>
        </w:tblBorders>
        <w:tblLayout w:type="fixed"/>
        <w:tblLook w:val="04A0"/>
      </w:tblPr>
      <w:tblGrid>
        <w:gridCol w:w="2989"/>
        <w:gridCol w:w="1494"/>
        <w:gridCol w:w="1494"/>
        <w:gridCol w:w="1494"/>
        <w:gridCol w:w="2151"/>
      </w:tblGrid>
      <w:tr w14:paraId="5FB72EAF" w14:textId="77777777">
        <w:tblPrEx>
          <w:tblW w:w="5000" w:type="pct"/>
          <w:tblBorders>
            <w:bottom w:val="single" w:sz="4" w:space="0" w:color="000000"/>
          </w:tblBorders>
          <w:tblLayout w:type="fixed"/>
          <w:tblLook w:val="04A0"/>
        </w:tblPrEx>
        <w:trPr>
          <w:trHeight w:val="485"/>
        </w:trPr>
        <w:tc>
          <w:tcPr>
            <w:tcW w:w="3000" w:type="dxa"/>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0ECA6A31" w14:textId="77777777">
            <w:pPr>
              <w:pStyle w:val="EnteteTabFirstColBordure"/>
              <w:rPr>
                <w:lang w:val="fr-FR"/>
              </w:rPr>
            </w:pPr>
            <w:r>
              <w:rPr>
                <w:lang w:val="fr-FR"/>
              </w:rPr>
              <w:t>Nature d'engagements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06589021" w14:textId="77777777">
            <w:pPr>
              <w:pStyle w:val="EnteteTabMiddleColBordure"/>
              <w:spacing w:line="184" w:lineRule="exact"/>
              <w:rPr>
                <w:lang w:val="fr-FR"/>
              </w:rPr>
            </w:pPr>
            <w:r>
              <w:rPr>
                <w:lang w:val="fr-FR"/>
              </w:rPr>
              <w:t>Quantité ou</w:t>
            </w:r>
          </w:p>
          <w:p w:rsidR="001F4AEE" w14:paraId="0E9DE98E" w14:textId="77777777">
            <w:pPr>
              <w:pStyle w:val="EnteteTabMiddleColBordure"/>
              <w:spacing w:line="184" w:lineRule="exact"/>
              <w:rPr>
                <w:lang w:val="fr-FR"/>
              </w:rPr>
            </w:pPr>
            <w:r>
              <w:rPr>
                <w:lang w:val="fr-FR"/>
              </w:rPr>
              <w:t>Nominal</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B159C77" w14:textId="77777777">
            <w:pPr>
              <w:pStyle w:val="EnteteTabMiddleColBordure"/>
              <w:rPr>
                <w:lang w:val="fr-FR"/>
              </w:rPr>
            </w:pPr>
            <w:r>
              <w:rPr>
                <w:lang w:val="fr-FR"/>
              </w:rPr>
              <w:t>Valeur actuelle présentée au bilan</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67205DB1" w14:textId="77777777">
            <w:pPr>
              <w:pStyle w:val="EnteteTabLastColBordure"/>
              <w:rPr>
                <w:lang w:val="fr-FR"/>
              </w:rPr>
            </w:pPr>
            <w:r>
              <w:rPr>
                <w:lang w:val="fr-FR"/>
              </w:rPr>
              <w:t>Montant de l'exposition (*)</w:t>
            </w:r>
          </w:p>
        </w:tc>
      </w:tr>
      <w:tr w14:paraId="5663AC1F" w14:textId="77777777">
        <w:tblPrEx>
          <w:tblW w:w="5000" w:type="pct"/>
          <w:tblLayout w:type="fixed"/>
          <w:tblLook w:val="04A0"/>
        </w:tblPrEx>
        <w:trPr>
          <w:trHeight w:val="385"/>
        </w:trPr>
        <w:tc>
          <w:tcPr>
            <w:tcW w:w="300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1F4AEE" w14:paraId="1186D22F" w14:textId="77777777"/>
        </w:tc>
        <w:tc>
          <w:tcPr>
            <w:tcW w:w="15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4AEE" w14:paraId="7C3A0A0C" w14:textId="77777777"/>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59A0584F" w14:textId="77777777">
            <w:pPr>
              <w:pStyle w:val="EnteteTabMiddleColBordure"/>
              <w:rPr>
                <w:lang w:val="fr-FR"/>
              </w:rPr>
            </w:pPr>
            <w:r>
              <w:rPr>
                <w:lang w:val="fr-FR"/>
              </w:rPr>
              <w:t>Actif</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7768A28A" w14:textId="77777777">
            <w:pPr>
              <w:pStyle w:val="EnteteTabMiddleColBordure"/>
              <w:rPr>
                <w:lang w:val="fr-FR"/>
              </w:rPr>
            </w:pPr>
            <w:r>
              <w:rPr>
                <w:lang w:val="fr-FR"/>
              </w:rPr>
              <w:t>Passif</w:t>
            </w:r>
          </w:p>
        </w:tc>
        <w:tc>
          <w:tcPr>
            <w:tcW w:w="216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04309228" w14:textId="77777777">
            <w:pPr>
              <w:pStyle w:val="EnteteTabLastColBordure"/>
              <w:rPr>
                <w:lang w:val="fr-FR"/>
              </w:rPr>
            </w:pPr>
            <w:r>
              <w:rPr>
                <w:lang w:val="fr-FR"/>
              </w:rPr>
              <w:t>+/-</w:t>
            </w:r>
          </w:p>
        </w:tc>
      </w:tr>
      <w:tr w14:paraId="7C2CE3D8"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1F4AEE" w14:paraId="48CF05D1"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91EF3A0"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3750CA7"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7C73401A"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6C6F12B0" w14:textId="77777777">
            <w:pPr>
              <w:pStyle w:val="Tab1LastColGras"/>
              <w:rPr>
                <w:sz w:val="0"/>
                <w:lang w:val="fr-FR"/>
              </w:rPr>
            </w:pPr>
          </w:p>
        </w:tc>
      </w:tr>
      <w:tr w14:paraId="0B5F3311"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612DC3B0" w14:textId="77777777">
            <w:pPr>
              <w:pStyle w:val="Tab1FirstColGras"/>
              <w:rPr>
                <w:lang w:val="fr-FR"/>
              </w:rPr>
            </w:pPr>
            <w:r>
              <w:rPr>
                <w:lang w:val="fr-FR"/>
              </w:rPr>
              <w:t>1. Futures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3B91845"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EE4E708"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E800131"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5FBA5BC3" w14:textId="77777777">
            <w:pPr>
              <w:pStyle w:val="Tab1LastColGrasNoContent"/>
              <w:rPr>
                <w:sz w:val="16"/>
                <w:lang w:val="fr-FR"/>
              </w:rPr>
            </w:pPr>
          </w:p>
        </w:tc>
      </w:tr>
      <w:tr w14:paraId="45AED612"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5E36C3E1" w14:textId="77777777">
            <w:pPr>
              <w:pStyle w:val="Tab1FirstColGras"/>
              <w:rPr>
                <w:lang w:val="fr-FR"/>
              </w:rPr>
            </w:pPr>
            <w:r>
              <w:rPr>
                <w:lang w:val="fr-FR"/>
              </w:rPr>
              <w:t>Sous-total 1.</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76056B1F"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8EB830A"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E0EFD5D"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701A8D62" w14:textId="77777777">
            <w:pPr>
              <w:pStyle w:val="Tab1LastColGras"/>
              <w:rPr>
                <w:lang w:val="fr-FR"/>
              </w:rPr>
            </w:pPr>
            <w:r>
              <w:rPr>
                <w:lang w:val="fr-FR"/>
              </w:rPr>
              <w:t xml:space="preserve"> </w:t>
            </w:r>
          </w:p>
        </w:tc>
      </w:tr>
      <w:tr w14:paraId="4837C0A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5F5758EA" w14:textId="77777777">
            <w:pPr>
              <w:pStyle w:val="Tab1FirstColGras"/>
              <w:rPr>
                <w:lang w:val="fr-FR"/>
              </w:rPr>
            </w:pPr>
            <w:r>
              <w:rPr>
                <w:lang w:val="fr-FR"/>
              </w:rPr>
              <w:t>2. Options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4FAE3D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1802CED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EC53ED5"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3008447A" w14:textId="77777777">
            <w:pPr>
              <w:pStyle w:val="Tab1LastColGrasNoContent"/>
              <w:rPr>
                <w:sz w:val="16"/>
                <w:lang w:val="fr-FR"/>
              </w:rPr>
            </w:pPr>
          </w:p>
        </w:tc>
      </w:tr>
      <w:tr w14:paraId="0A51D5ED"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1DE6B9AF" w14:textId="77777777">
            <w:pPr>
              <w:pStyle w:val="Tab1FirstColGras"/>
              <w:rPr>
                <w:lang w:val="fr-FR"/>
              </w:rPr>
            </w:pPr>
            <w:r>
              <w:rPr>
                <w:lang w:val="fr-FR"/>
              </w:rPr>
              <w:t>Sous-total 2.</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376E417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1BD18836"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0633245"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088C52D1" w14:textId="77777777">
            <w:pPr>
              <w:pStyle w:val="Tab1LastColGras"/>
              <w:rPr>
                <w:lang w:val="fr-FR"/>
              </w:rPr>
            </w:pPr>
            <w:r>
              <w:rPr>
                <w:lang w:val="fr-FR"/>
              </w:rPr>
              <w:t xml:space="preserve"> </w:t>
            </w:r>
          </w:p>
        </w:tc>
      </w:tr>
      <w:tr w14:paraId="6E1B5506"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008888D8" w14:textId="77777777">
            <w:pPr>
              <w:pStyle w:val="Tab1FirstColGras"/>
              <w:rPr>
                <w:lang w:val="fr-FR"/>
              </w:rPr>
            </w:pPr>
            <w:r>
              <w:rPr>
                <w:lang w:val="fr-FR"/>
              </w:rPr>
              <w:t>3. Swaps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10F66C3C"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8A3024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09A4F65"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3AE49455" w14:textId="77777777">
            <w:pPr>
              <w:pStyle w:val="Tab1LastColGrasNoContent"/>
              <w:rPr>
                <w:sz w:val="16"/>
                <w:lang w:val="fr-FR"/>
              </w:rPr>
            </w:pPr>
          </w:p>
        </w:tc>
      </w:tr>
      <w:tr w14:paraId="29622C88"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2999ABCF" w14:textId="77777777">
            <w:pPr>
              <w:pStyle w:val="Tab1FirstColGras"/>
              <w:rPr>
                <w:lang w:val="fr-FR"/>
              </w:rPr>
            </w:pPr>
            <w:r>
              <w:rPr>
                <w:lang w:val="fr-FR"/>
              </w:rPr>
              <w:t>Sous-total 3.</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760FBF2"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EAE1AED"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684BCFC9"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3F6F3C1E" w14:textId="77777777">
            <w:pPr>
              <w:pStyle w:val="Tab1LastColGras"/>
              <w:rPr>
                <w:lang w:val="fr-FR"/>
              </w:rPr>
            </w:pPr>
            <w:r>
              <w:rPr>
                <w:lang w:val="fr-FR"/>
              </w:rPr>
              <w:t xml:space="preserve"> </w:t>
            </w:r>
          </w:p>
        </w:tc>
      </w:tr>
      <w:tr w14:paraId="26E13EC5"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36532AE2" w14:textId="77777777">
            <w:pPr>
              <w:pStyle w:val="Tab1FirstColGras"/>
              <w:rPr>
                <w:lang w:val="fr-FR"/>
              </w:rPr>
            </w:pPr>
            <w:r>
              <w:rPr>
                <w:lang w:val="fr-FR"/>
              </w:rPr>
              <w:t>4. Autres instruments</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2FA0F2E6"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C933061"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45B3D660" w14:textId="77777777">
            <w:pPr>
              <w:pStyle w:val="Tab1MiddleColGrasNoContent"/>
              <w:rPr>
                <w:sz w:val="16"/>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1F33F240" w14:textId="77777777">
            <w:pPr>
              <w:pStyle w:val="Tab1LastColGrasNoContent"/>
              <w:rPr>
                <w:sz w:val="16"/>
                <w:lang w:val="fr-FR"/>
              </w:rPr>
            </w:pPr>
          </w:p>
        </w:tc>
      </w:tr>
      <w:tr w14:paraId="7C29C2F9" w14:textId="77777777">
        <w:tblPrEx>
          <w:tblW w:w="5000" w:type="pct"/>
          <w:tblLayout w:type="fixed"/>
          <w:tblLook w:val="04A0"/>
        </w:tblPrEx>
        <w:trPr>
          <w:trHeight w:val="265"/>
        </w:trPr>
        <w:tc>
          <w:tcPr>
            <w:tcW w:w="3000" w:type="dxa"/>
            <w:tcBorders>
              <w:left w:val="single" w:sz="4" w:space="0" w:color="000000"/>
            </w:tcBorders>
            <w:tcMar>
              <w:top w:w="0" w:type="dxa"/>
              <w:left w:w="0" w:type="dxa"/>
              <w:bottom w:w="0" w:type="dxa"/>
              <w:right w:w="0" w:type="dxa"/>
            </w:tcMar>
            <w:vAlign w:val="center"/>
          </w:tcPr>
          <w:p w:rsidR="001F4AEE" w14:paraId="2A31C3EA" w14:textId="77777777">
            <w:pPr>
              <w:pStyle w:val="Tab1FirstColGras"/>
              <w:rPr>
                <w:lang w:val="fr-FR"/>
              </w:rPr>
            </w:pPr>
            <w:r>
              <w:rPr>
                <w:lang w:val="fr-FR"/>
              </w:rPr>
              <w:t>Sous-total 4.</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235B243" w14:textId="77777777">
            <w:pPr>
              <w:pStyle w:val="Tab1MiddleColGrasNoContent"/>
              <w:rPr>
                <w:sz w:val="16"/>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71048E67" w14:textId="77777777">
            <w:pPr>
              <w:pStyle w:val="Tab1MiddleColGras"/>
              <w:rPr>
                <w:lang w:val="fr-FR"/>
              </w:rPr>
            </w:pPr>
            <w:r>
              <w:rPr>
                <w:lang w:val="fr-FR"/>
              </w:rPr>
              <w:t xml:space="preserve"> </w:t>
            </w: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56D7EBFE" w14:textId="77777777">
            <w:pPr>
              <w:pStyle w:val="Tab1MiddleColGras"/>
              <w:rPr>
                <w:lang w:val="fr-FR"/>
              </w:rPr>
            </w:pPr>
            <w:r>
              <w:rPr>
                <w:lang w:val="fr-FR"/>
              </w:rPr>
              <w:t xml:space="preserve"> </w:t>
            </w: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348562BD" w14:textId="77777777">
            <w:pPr>
              <w:pStyle w:val="Tab1LastColGras"/>
              <w:rPr>
                <w:lang w:val="fr-FR"/>
              </w:rPr>
            </w:pPr>
            <w:r>
              <w:rPr>
                <w:lang w:val="fr-FR"/>
              </w:rPr>
              <w:t xml:space="preserve"> </w:t>
            </w:r>
          </w:p>
        </w:tc>
      </w:tr>
      <w:tr w14:paraId="4B80FADB" w14:textId="77777777">
        <w:tblPrEx>
          <w:tblW w:w="5000" w:type="pct"/>
          <w:tblLayout w:type="fixed"/>
          <w:tblLook w:val="04A0"/>
        </w:tblPrEx>
        <w:trPr>
          <w:trHeight w:hRule="exact" w:val="20"/>
        </w:trPr>
        <w:tc>
          <w:tcPr>
            <w:tcW w:w="3000" w:type="dxa"/>
            <w:tcBorders>
              <w:left w:val="single" w:sz="4" w:space="0" w:color="000000"/>
            </w:tcBorders>
            <w:tcMar>
              <w:top w:w="0" w:type="dxa"/>
              <w:left w:w="0" w:type="dxa"/>
              <w:bottom w:w="0" w:type="dxa"/>
              <w:right w:w="0" w:type="dxa"/>
            </w:tcMar>
            <w:vAlign w:val="center"/>
          </w:tcPr>
          <w:p w:rsidR="001F4AEE" w14:paraId="6929D43F" w14:textId="77777777">
            <w:pPr>
              <w:pStyle w:val="Tab1First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04C07697"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66924270" w14:textId="77777777">
            <w:pPr>
              <w:pStyle w:val="Tab1MiddleColGras"/>
              <w:rPr>
                <w:sz w:val="0"/>
                <w:lang w:val="fr-FR"/>
              </w:rPr>
            </w:pPr>
          </w:p>
        </w:tc>
        <w:tc>
          <w:tcPr>
            <w:tcW w:w="1500" w:type="dxa"/>
            <w:tcBorders>
              <w:left w:val="single" w:sz="4" w:space="0" w:color="000000"/>
              <w:right w:val="single" w:sz="4" w:space="0" w:color="000000"/>
            </w:tcBorders>
            <w:tcMar>
              <w:top w:w="0" w:type="dxa"/>
              <w:left w:w="40" w:type="dxa"/>
              <w:bottom w:w="0" w:type="dxa"/>
              <w:right w:w="0" w:type="dxa"/>
            </w:tcMar>
            <w:vAlign w:val="center"/>
          </w:tcPr>
          <w:p w:rsidR="001F4AEE" w14:paraId="140BBCC0" w14:textId="77777777">
            <w:pPr>
              <w:pStyle w:val="Tab1MiddleColGras"/>
              <w:rPr>
                <w:sz w:val="0"/>
                <w:lang w:val="fr-FR"/>
              </w:rPr>
            </w:pPr>
          </w:p>
        </w:tc>
        <w:tc>
          <w:tcPr>
            <w:tcW w:w="2160" w:type="dxa"/>
            <w:tcBorders>
              <w:left w:val="single" w:sz="4" w:space="0" w:color="000000"/>
              <w:right w:val="single" w:sz="4" w:space="0" w:color="000000"/>
            </w:tcBorders>
            <w:tcMar>
              <w:top w:w="0" w:type="dxa"/>
              <w:left w:w="0" w:type="dxa"/>
              <w:bottom w:w="0" w:type="dxa"/>
              <w:right w:w="0" w:type="dxa"/>
            </w:tcMar>
            <w:vAlign w:val="center"/>
          </w:tcPr>
          <w:p w:rsidR="001F4AEE" w14:paraId="2154C11B" w14:textId="77777777">
            <w:pPr>
              <w:pStyle w:val="Tab1LastColGras"/>
              <w:rPr>
                <w:sz w:val="0"/>
                <w:lang w:val="fr-FR"/>
              </w:rPr>
            </w:pPr>
          </w:p>
        </w:tc>
      </w:tr>
      <w:tr w14:paraId="05631A66" w14:textId="77777777">
        <w:tblPrEx>
          <w:tblW w:w="5000" w:type="pct"/>
          <w:tblLayout w:type="fixed"/>
          <w:tblLook w:val="04A0"/>
        </w:tblPrEx>
        <w:trPr>
          <w:trHeight w:val="281"/>
        </w:trPr>
        <w:tc>
          <w:tcPr>
            <w:tcW w:w="300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1F4AEE" w14:paraId="2E24796E" w14:textId="77777777">
            <w:pPr>
              <w:pStyle w:val="TotalTabFirstColBordure"/>
              <w:rPr>
                <w:lang w:val="fr-FR"/>
              </w:rPr>
            </w:pPr>
            <w:r>
              <w:rPr>
                <w:lang w:val="fr-FR"/>
              </w:rPr>
              <w:t>Total</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48532A95" w14:textId="77777777">
            <w:pPr>
              <w:pStyle w:val="TotalTabMiddleColBordureNoContent"/>
              <w:rPr>
                <w:sz w:val="16"/>
                <w:lang w:val="fr-FR"/>
              </w:rPr>
            </w:pP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399563C1" w14:textId="77777777">
            <w:pPr>
              <w:pStyle w:val="TotalTabMiddleColBordure"/>
              <w:rPr>
                <w:lang w:val="fr-FR"/>
              </w:rPr>
            </w:pPr>
            <w:r>
              <w:rPr>
                <w:lang w:val="fr-FR"/>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79" w:type="dxa"/>
              <w:left w:w="0" w:type="dxa"/>
              <w:bottom w:w="45" w:type="dxa"/>
              <w:right w:w="0" w:type="dxa"/>
            </w:tcMar>
            <w:vAlign w:val="center"/>
          </w:tcPr>
          <w:p w:rsidR="001F4AEE" w14:paraId="3320C3D9" w14:textId="77777777">
            <w:pPr>
              <w:pStyle w:val="TotalTabMiddleColBordure"/>
              <w:rPr>
                <w:lang w:val="fr-FR"/>
              </w:rPr>
            </w:pPr>
            <w:r>
              <w:rPr>
                <w:lang w:val="fr-FR"/>
              </w:rPr>
              <w:t xml:space="preserve"> </w:t>
            </w:r>
          </w:p>
        </w:tc>
        <w:tc>
          <w:tcPr>
            <w:tcW w:w="216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1F4AEE" w14:paraId="0B06226B" w14:textId="77777777">
            <w:pPr>
              <w:pStyle w:val="TotalTabLastColBordure"/>
              <w:rPr>
                <w:lang w:val="fr-FR"/>
              </w:rPr>
            </w:pPr>
            <w:r>
              <w:rPr>
                <w:lang w:val="fr-FR"/>
              </w:rPr>
              <w:t xml:space="preserve"> </w:t>
            </w:r>
          </w:p>
        </w:tc>
      </w:tr>
    </w:tbl>
    <w:p w:rsidR="001F4AEE" w14:paraId="45F85F05" w14:textId="77777777">
      <w:pPr>
        <w:pStyle w:val="TechnicalBookmark"/>
        <w:rPr>
          <w:lang w:val="fr-FR"/>
        </w:rPr>
      </w:pPr>
    </w:p>
    <w:p w:rsidR="001F4AEE" w14:paraId="646223D9" w14:textId="77777777">
      <w:pPr>
        <w:pStyle w:val="TableNote"/>
        <w:spacing w:after="15"/>
        <w:rPr>
          <w:lang w:val="fr-FR"/>
        </w:rPr>
      </w:pPr>
      <w:r>
        <w:rPr>
          <w:lang w:val="fr-FR"/>
        </w:rPr>
        <w:t>(*) Montant déterminé selon les dispositions du règlement relatif à la présentation des expositions.</w:t>
      </w:r>
    </w:p>
    <w:p w:rsidR="001F4AEE" w14:paraId="24061E4A" w14:textId="77777777">
      <w:pPr>
        <w:pStyle w:val="BreakLine"/>
        <w:rPr>
          <w:lang w:val="fr-FR"/>
        </w:rPr>
      </w:pPr>
      <w:r>
        <w:rPr>
          <w:lang w:val="fr-FR"/>
        </w:rPr>
        <w:t xml:space="preserve"> </w:t>
      </w:r>
    </w:p>
    <w:p w:rsidR="001F4AEE" w14:paraId="19C4CA49" w14:textId="77777777">
      <w:pPr>
        <w:pStyle w:val="TechnicalBookmark"/>
        <w:rPr>
          <w:lang w:val="fr-FR"/>
        </w:rPr>
      </w:pPr>
      <w:r>
        <w:rPr>
          <w:lang w:val="fr-FR"/>
        </w:rPr>
        <w:fldChar w:fldCharType="begin"/>
      </w:r>
      <w:r>
        <w:rPr>
          <w:lang w:val="fr-FR"/>
        </w:rPr>
        <w:instrText xml:space="preserve"> SET C6E120D00265E15921E8BC0D5E780A71 "" </w:instrText>
      </w:r>
      <w:r>
        <w:rPr>
          <w:lang w:val="fr-FR"/>
        </w:rPr>
        <w:fldChar w:fldCharType="separate"/>
      </w:r>
      <w:bookmarkStart w:id="143" w:name="C6E120D00265E15921E8BC0D5E780A71"/>
      <w:bookmarkEnd w:id="143"/>
      <w:r>
        <w:rPr>
          <w:lang w:val="fr-FR"/>
        </w:rPr>
        <w:fldChar w:fldCharType="end"/>
      </w:r>
    </w:p>
    <w:p w:rsidR="001F4AEE" w14:paraId="2D911E59" w14:textId="77777777">
      <w:pPr>
        <w:pStyle w:val="H2SPACEBEFORE"/>
        <w:ind w:right="2400"/>
        <w:rPr>
          <w:lang w:val="fr-FR"/>
        </w:rPr>
      </w:pPr>
      <w:r>
        <w:rPr>
          <w:lang w:val="fr-FR"/>
        </w:rPr>
        <w:t>|</w:t>
      </w:r>
    </w:p>
    <w:p w:rsidR="001F4AEE" w14:paraId="33460F47" w14:textId="77777777">
      <w:pPr>
        <w:pStyle w:val="H2"/>
        <w:rPr>
          <w:lang w:val="fr-FR"/>
        </w:rPr>
      </w:pPr>
      <w:r>
        <w:rPr>
          <w:lang w:val="fr-FR"/>
        </w:rPr>
        <w:t>Inventaire des instruments financiers à terme ou des opérations à terme de devises utilisés en couverture d'une catégorie de part</w:t>
      </w:r>
    </w:p>
    <w:p w:rsidR="001F4AEE" w14:paraId="21C4F38E" w14:textId="77777777">
      <w:pPr>
        <w:pStyle w:val="RefToc2"/>
        <w:rPr>
          <w:lang w:val="fr-FR"/>
        </w:rPr>
      </w:pPr>
      <w:bookmarkStart w:id="144" w:name="BK_996F3E987BF50859A6830C12E32978EE"/>
      <w:bookmarkEnd w:id="144"/>
    </w:p>
    <w:p w:rsidR="001F4AEE" w14:paraId="1BC0637B" w14:textId="77777777">
      <w:pPr>
        <w:pStyle w:val="TechnicalBookmark"/>
        <w:rPr>
          <w:lang w:val="fr-FR"/>
        </w:rPr>
      </w:pPr>
      <w:r>
        <w:rPr>
          <w:lang w:val="fr-FR"/>
        </w:rPr>
        <w:fldChar w:fldCharType="begin"/>
      </w:r>
      <w:r>
        <w:rPr>
          <w:lang w:val="fr-FR"/>
        </w:rPr>
        <w:instrText xml:space="preserve"> SET 9521B6681A411CEF90C3DE2B22733A9D "" </w:instrText>
      </w:r>
      <w:r>
        <w:rPr>
          <w:lang w:val="fr-FR"/>
        </w:rPr>
        <w:fldChar w:fldCharType="separate"/>
      </w:r>
      <w:bookmarkStart w:id="145" w:name="9521B6681A411CEF90C3DE2B22733A9D"/>
      <w:bookmarkEnd w:id="145"/>
      <w:r>
        <w:rPr>
          <w:lang w:val="fr-FR"/>
        </w:rPr>
        <w:fldChar w:fldCharType="end"/>
      </w:r>
    </w:p>
    <w:p w:rsidR="001F4AEE" w14:paraId="3EB537CE" w14:textId="77777777">
      <w:pPr>
        <w:pStyle w:val="Text"/>
        <w:spacing w:after="15"/>
        <w:rPr>
          <w:lang w:val="fr-FR"/>
        </w:rPr>
      </w:pPr>
      <w:r>
        <w:rPr>
          <w:lang w:val="fr-FR"/>
        </w:rPr>
        <w:t>L’OPC sous revue n’est pas concerné par cette rubrique.</w:t>
      </w:r>
    </w:p>
    <w:p w:rsidR="001F4AEE" w14:paraId="492AB6AC" w14:textId="77777777">
      <w:pPr>
        <w:pStyle w:val="BreakLine"/>
        <w:rPr>
          <w:lang w:val="fr-FR"/>
        </w:rPr>
      </w:pPr>
      <w:r>
        <w:rPr>
          <w:lang w:val="fr-FR"/>
        </w:rPr>
        <w:t xml:space="preserve"> </w:t>
      </w:r>
    </w:p>
    <w:p w:rsidR="001F4AEE" w14:paraId="06AEC05A" w14:textId="77777777">
      <w:pPr>
        <w:pStyle w:val="TechnicalBookmark"/>
        <w:rPr>
          <w:lang w:val="fr-FR"/>
        </w:rPr>
      </w:pPr>
      <w:r>
        <w:rPr>
          <w:lang w:val="fr-FR"/>
        </w:rPr>
        <w:fldChar w:fldCharType="begin"/>
      </w:r>
      <w:r>
        <w:rPr>
          <w:lang w:val="fr-FR"/>
        </w:rPr>
        <w:instrText xml:space="preserve"> SET 3B5E4C2ABDF501EDEE0541CA4A22CCC1 "" </w:instrText>
      </w:r>
      <w:r>
        <w:rPr>
          <w:lang w:val="fr-FR"/>
        </w:rPr>
        <w:fldChar w:fldCharType="separate"/>
      </w:r>
      <w:bookmarkStart w:id="146" w:name="3B5E4C2ABDF501EDEE0541CA4A22CCC1"/>
      <w:bookmarkEnd w:id="146"/>
      <w:r>
        <w:rPr>
          <w:lang w:val="fr-FR"/>
        </w:rPr>
        <w:fldChar w:fldCharType="end"/>
      </w:r>
    </w:p>
    <w:p w:rsidR="001F4AEE" w14:paraId="7915E454" w14:textId="77777777">
      <w:pPr>
        <w:pStyle w:val="H2SPACEBEFORE"/>
        <w:ind w:right="2400"/>
        <w:rPr>
          <w:lang w:val="fr-FR"/>
        </w:rPr>
      </w:pPr>
      <w:r>
        <w:rPr>
          <w:lang w:val="fr-FR"/>
        </w:rPr>
        <w:t>|</w:t>
      </w:r>
    </w:p>
    <w:p w:rsidR="001F4AEE" w14:paraId="57E56E17" w14:textId="77777777">
      <w:pPr>
        <w:pStyle w:val="H2"/>
        <w:rPr>
          <w:lang w:val="fr-FR"/>
        </w:rPr>
      </w:pPr>
      <w:bookmarkStart w:id="147" w:name="Synthèse_de_l’inventaire"/>
      <w:bookmarkEnd w:id="147"/>
      <w:r>
        <w:rPr>
          <w:lang w:val="fr-FR"/>
        </w:rPr>
        <w:t>Synthèse de l’inventaire</w:t>
      </w:r>
    </w:p>
    <w:p w:rsidR="001F4AEE" w14:paraId="17BD40B3" w14:textId="77777777">
      <w:pPr>
        <w:pStyle w:val="RefToc2"/>
        <w:rPr>
          <w:lang w:val="fr-FR"/>
        </w:rPr>
      </w:pPr>
      <w:bookmarkStart w:id="148" w:name="BK_502EE81B82324BC6855B3CD934C22EDF"/>
      <w:bookmarkEnd w:id="148"/>
    </w:p>
    <w:p w:rsidR="001F4AEE" w14:paraId="5267CC6C" w14:textId="77777777">
      <w:pPr>
        <w:pStyle w:val="TechnicalBookmark"/>
        <w:rPr>
          <w:lang w:val="fr-FR"/>
        </w:rPr>
      </w:pPr>
      <w:r>
        <w:rPr>
          <w:lang w:val="fr-FR"/>
        </w:rPr>
        <w:fldChar w:fldCharType="begin"/>
      </w:r>
      <w:r>
        <w:rPr>
          <w:lang w:val="fr-FR"/>
        </w:rPr>
        <w:instrText xml:space="preserve"> SET D9704353D75EB1BF0F4D5B1063FA4BEF "" </w:instrText>
      </w:r>
      <w:r>
        <w:rPr>
          <w:lang w:val="fr-FR"/>
        </w:rPr>
        <w:fldChar w:fldCharType="separate"/>
      </w:r>
      <w:bookmarkStart w:id="149" w:name="D9704353D75EB1BF0F4D5B1063FA4BEF"/>
      <w:bookmarkEnd w:id="149"/>
      <w:r>
        <w:rPr>
          <w:lang w:val="fr-FR"/>
        </w:rPr>
        <w:fldChar w:fldCharType="end"/>
      </w:r>
    </w:p>
    <w:p w:rsidR="001F4AEE" w14:paraId="731A2A51" w14:textId="77777777">
      <w:pPr>
        <w:pStyle w:val="TechnicalBookmark"/>
        <w:rPr>
          <w:lang w:val="fr-FR"/>
        </w:rPr>
      </w:pPr>
    </w:p>
    <w:tbl>
      <w:tblPr>
        <w:tblW w:w="5000" w:type="pct"/>
        <w:tblLayout w:type="fixed"/>
        <w:tblLook w:val="04A0"/>
      </w:tblPr>
      <w:tblGrid>
        <w:gridCol w:w="6731"/>
        <w:gridCol w:w="2896"/>
      </w:tblGrid>
      <w:tr w14:paraId="5C2DBB2A" w14:textId="77777777">
        <w:tblPrEx>
          <w:tblW w:w="5000" w:type="pct"/>
          <w:tblLayout w:type="fixed"/>
          <w:tblLook w:val="04A0"/>
        </w:tblPrEx>
        <w:trPr>
          <w:trHeight w:val="385"/>
        </w:trPr>
        <w:tc>
          <w:tcPr>
            <w:tcW w:w="6740" w:type="dxa"/>
            <w:tcBorders>
              <w:bottom w:val="single" w:sz="6" w:space="0" w:color="000000"/>
            </w:tcBorders>
            <w:tcMar>
              <w:top w:w="0" w:type="dxa"/>
              <w:left w:w="0" w:type="dxa"/>
              <w:bottom w:w="0" w:type="dxa"/>
              <w:right w:w="0" w:type="dxa"/>
            </w:tcMar>
            <w:vAlign w:val="bottom"/>
          </w:tcPr>
          <w:p w:rsidR="001F4AEE" w14:paraId="4DD65285" w14:textId="77777777">
            <w:pPr>
              <w:pStyle w:val="EnteteTabNoBordureUpNoGrasNoContent"/>
              <w:rPr>
                <w:sz w:val="16"/>
                <w:lang w:val="fr-FR"/>
              </w:rPr>
            </w:pPr>
          </w:p>
        </w:tc>
        <w:tc>
          <w:tcPr>
            <w:tcW w:w="2900" w:type="dxa"/>
            <w:tcBorders>
              <w:top w:val="single" w:sz="4" w:space="0" w:color="232323"/>
              <w:left w:val="single" w:sz="4" w:space="0" w:color="232323"/>
              <w:bottom w:val="single" w:sz="4" w:space="0" w:color="232323"/>
              <w:right w:val="single" w:sz="4" w:space="0" w:color="232323"/>
            </w:tcBorders>
            <w:tcMar>
              <w:top w:w="0" w:type="dxa"/>
              <w:left w:w="0" w:type="dxa"/>
              <w:bottom w:w="0" w:type="dxa"/>
              <w:right w:w="0" w:type="dxa"/>
            </w:tcMar>
            <w:vAlign w:val="center"/>
          </w:tcPr>
          <w:p w:rsidR="001F4AEE" w14:paraId="3228A424" w14:textId="77777777">
            <w:pPr>
              <w:pStyle w:val="EnteteTabLastColBordure"/>
              <w:rPr>
                <w:lang w:val="fr-FR"/>
              </w:rPr>
            </w:pPr>
            <w:r>
              <w:rPr>
                <w:lang w:val="fr-FR"/>
              </w:rPr>
              <w:t>Valeur actuelle présentée au bilan</w:t>
            </w:r>
          </w:p>
        </w:tc>
      </w:tr>
      <w:tr w14:paraId="360BA1EA" w14:textId="77777777">
        <w:tblPrEx>
          <w:tblW w:w="5000" w:type="pct"/>
          <w:tblLayout w:type="fixed"/>
          <w:tblLook w:val="04A0"/>
        </w:tblPrEx>
        <w:trPr>
          <w:trHeight w:hRule="exact" w:val="21"/>
        </w:trPr>
        <w:tc>
          <w:tcPr>
            <w:tcW w:w="6740" w:type="dxa"/>
            <w:tcBorders>
              <w:top w:val="single" w:sz="4" w:space="0" w:color="000000"/>
              <w:left w:val="single" w:sz="4" w:space="0" w:color="232323"/>
            </w:tcBorders>
            <w:tcMar>
              <w:top w:w="0" w:type="dxa"/>
              <w:left w:w="0" w:type="dxa"/>
              <w:bottom w:w="39" w:type="dxa"/>
              <w:right w:w="0" w:type="dxa"/>
            </w:tcMar>
            <w:vAlign w:val="center"/>
          </w:tcPr>
          <w:p w:rsidR="001F4AEE" w14:paraId="61721C0A" w14:textId="77777777">
            <w:pPr>
              <w:pStyle w:val="Tab1FirstColNonGrasBordureUpNoContent"/>
              <w:rPr>
                <w:sz w:val="16"/>
                <w:lang w:val="fr-FR"/>
              </w:rPr>
            </w:pPr>
          </w:p>
        </w:tc>
        <w:tc>
          <w:tcPr>
            <w:tcW w:w="2900" w:type="dxa"/>
            <w:tcBorders>
              <w:left w:val="single" w:sz="4" w:space="0" w:color="000000"/>
              <w:right w:val="single" w:sz="4" w:space="0" w:color="000000"/>
            </w:tcBorders>
            <w:tcMar>
              <w:top w:w="0" w:type="dxa"/>
              <w:left w:w="0" w:type="dxa"/>
              <w:bottom w:w="0" w:type="dxa"/>
              <w:right w:w="0" w:type="dxa"/>
            </w:tcMar>
            <w:vAlign w:val="center"/>
          </w:tcPr>
          <w:p w:rsidR="001F4AEE" w14:paraId="71AA870B" w14:textId="77777777">
            <w:pPr>
              <w:pStyle w:val="Tab3LastColNonGrasNoContent"/>
              <w:rPr>
                <w:sz w:val="16"/>
                <w:lang w:val="fr-FR"/>
              </w:rPr>
            </w:pPr>
          </w:p>
        </w:tc>
      </w:tr>
      <w:tr w14:paraId="45570A46"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1F4AEE" w14:paraId="774F5DA7" w14:textId="77777777">
            <w:pPr>
              <w:pStyle w:val="Tab1FirstColNonGras"/>
              <w:rPr>
                <w:lang w:val="fr-FR"/>
              </w:rPr>
            </w:pPr>
            <w:r>
              <w:rPr>
                <w:lang w:val="fr-FR"/>
              </w:rPr>
              <w:t>Total inventaire des actifs et passifs éligibles (hors IFT)</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1F4AEE" w14:paraId="3AC8D318" w14:textId="77777777">
            <w:pPr>
              <w:pStyle w:val="Tab3LastColNonGras"/>
              <w:rPr>
                <w:lang w:val="fr-FR"/>
              </w:rPr>
            </w:pPr>
            <w:r>
              <w:rPr>
                <w:lang w:val="fr-FR"/>
              </w:rPr>
              <w:t>346 880 379,46</w:t>
            </w:r>
          </w:p>
        </w:tc>
      </w:tr>
      <w:tr w14:paraId="60E58A07"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1F4AEE" w14:paraId="3731EF01" w14:textId="77777777">
            <w:pPr>
              <w:pStyle w:val="Tab1FirstColNonGras"/>
              <w:rPr>
                <w:lang w:val="fr-FR"/>
              </w:rPr>
            </w:pPr>
            <w:r>
              <w:rPr>
                <w:lang w:val="fr-FR"/>
              </w:rPr>
              <w:t>Inventaire des IFT (hors IFT utilisés en couverture de parts émises)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1F4AEE" w14:paraId="11AACF76" w14:textId="77777777">
            <w:pPr>
              <w:pStyle w:val="Tab3LastColNonGrasNoContent"/>
              <w:rPr>
                <w:sz w:val="16"/>
                <w:lang w:val="fr-FR"/>
              </w:rPr>
            </w:pPr>
          </w:p>
        </w:tc>
      </w:tr>
      <w:tr w14:paraId="5CDA97B3"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1F4AEE" w14:paraId="60ED162B" w14:textId="77777777">
            <w:pPr>
              <w:pStyle w:val="Tab2FirstColNonGras"/>
              <w:rPr>
                <w:lang w:val="fr-FR"/>
              </w:rPr>
            </w:pPr>
            <w:r>
              <w:rPr>
                <w:lang w:val="fr-FR"/>
              </w:rPr>
              <w:t>Total opérations à terme de devises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1F4AEE" w14:paraId="0278517B" w14:textId="77777777">
            <w:pPr>
              <w:pStyle w:val="Tab3LastColNonGras"/>
              <w:rPr>
                <w:lang w:val="fr-FR"/>
              </w:rPr>
            </w:pPr>
            <w:r>
              <w:rPr>
                <w:lang w:val="fr-FR"/>
              </w:rPr>
              <w:t xml:space="preserve"> </w:t>
            </w:r>
          </w:p>
        </w:tc>
      </w:tr>
      <w:tr w14:paraId="4C833ED0"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1F4AEE" w14:paraId="48FA9AD3" w14:textId="77777777">
            <w:pPr>
              <w:pStyle w:val="Tab2FirstColNonGras"/>
              <w:rPr>
                <w:lang w:val="fr-FR"/>
              </w:rPr>
            </w:pPr>
            <w:r>
              <w:rPr>
                <w:lang w:val="fr-FR"/>
              </w:rPr>
              <w:t>Total instruments financiers à terme - actions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1F4AEE" w14:paraId="5112779A" w14:textId="77777777">
            <w:pPr>
              <w:pStyle w:val="Tab3LastColNonGras"/>
              <w:rPr>
                <w:lang w:val="fr-FR"/>
              </w:rPr>
            </w:pPr>
            <w:r>
              <w:rPr>
                <w:lang w:val="fr-FR"/>
              </w:rPr>
              <w:t>25 288,20</w:t>
            </w:r>
          </w:p>
        </w:tc>
      </w:tr>
      <w:tr w14:paraId="1FE92B24"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1F4AEE" w14:paraId="620D92AB" w14:textId="77777777">
            <w:pPr>
              <w:pStyle w:val="Tab2FirstColNonGras"/>
              <w:rPr>
                <w:lang w:val="fr-FR"/>
              </w:rPr>
            </w:pPr>
            <w:r>
              <w:rPr>
                <w:lang w:val="fr-FR"/>
              </w:rPr>
              <w:t>Total instruments financiers à terme - taux</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1F4AEE" w14:paraId="3DC0938C" w14:textId="77777777">
            <w:pPr>
              <w:pStyle w:val="Tab3LastColNonGras"/>
              <w:rPr>
                <w:lang w:val="fr-FR"/>
              </w:rPr>
            </w:pPr>
            <w:r>
              <w:rPr>
                <w:lang w:val="fr-FR"/>
              </w:rPr>
              <w:t xml:space="preserve"> </w:t>
            </w:r>
          </w:p>
        </w:tc>
      </w:tr>
      <w:tr w14:paraId="6C070148"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1F4AEE" w14:paraId="4F28D048" w14:textId="77777777">
            <w:pPr>
              <w:pStyle w:val="Tab2FirstColNonGras"/>
              <w:rPr>
                <w:lang w:val="fr-FR"/>
              </w:rPr>
            </w:pPr>
            <w:r>
              <w:rPr>
                <w:lang w:val="fr-FR"/>
              </w:rPr>
              <w:t>Total instruments financiers à terme - change</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1F4AEE" w14:paraId="6BCB2994" w14:textId="77777777">
            <w:pPr>
              <w:pStyle w:val="Tab3LastColNonGras"/>
              <w:rPr>
                <w:lang w:val="fr-FR"/>
              </w:rPr>
            </w:pPr>
            <w:r>
              <w:rPr>
                <w:lang w:val="fr-FR"/>
              </w:rPr>
              <w:t xml:space="preserve"> </w:t>
            </w:r>
          </w:p>
        </w:tc>
      </w:tr>
      <w:tr w14:paraId="1F79B45B"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1F4AEE" w14:paraId="63C9245C" w14:textId="77777777">
            <w:pPr>
              <w:pStyle w:val="Tab2FirstColNonGras"/>
              <w:rPr>
                <w:lang w:val="fr-FR"/>
              </w:rPr>
            </w:pPr>
            <w:r>
              <w:rPr>
                <w:lang w:val="fr-FR"/>
              </w:rPr>
              <w:t>Total instruments financiers à terme - crédit</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1F4AEE" w14:paraId="3684CB58" w14:textId="77777777">
            <w:pPr>
              <w:pStyle w:val="Tab3LastColNonGras"/>
              <w:rPr>
                <w:lang w:val="fr-FR"/>
              </w:rPr>
            </w:pPr>
            <w:r>
              <w:rPr>
                <w:lang w:val="fr-FR"/>
              </w:rPr>
              <w:t xml:space="preserve"> </w:t>
            </w:r>
          </w:p>
        </w:tc>
      </w:tr>
      <w:tr w14:paraId="4AAB584A" w14:textId="77777777">
        <w:tblPrEx>
          <w:tblW w:w="5000" w:type="pct"/>
          <w:tblLayout w:type="fixed"/>
          <w:tblLook w:val="04A0"/>
        </w:tblPrEx>
        <w:trPr>
          <w:trHeight w:val="285"/>
        </w:trPr>
        <w:tc>
          <w:tcPr>
            <w:tcW w:w="6740" w:type="dxa"/>
            <w:tcBorders>
              <w:left w:val="single" w:sz="4" w:space="0" w:color="000000"/>
            </w:tcBorders>
            <w:tcMar>
              <w:top w:w="0" w:type="dxa"/>
              <w:left w:w="0" w:type="dxa"/>
              <w:bottom w:w="0" w:type="dxa"/>
              <w:right w:w="0" w:type="dxa"/>
            </w:tcMar>
            <w:vAlign w:val="center"/>
          </w:tcPr>
          <w:p w:rsidR="001F4AEE" w14:paraId="1B08C22E" w14:textId="77777777">
            <w:pPr>
              <w:pStyle w:val="Tab2FirstColNonGras"/>
              <w:rPr>
                <w:lang w:val="fr-FR"/>
              </w:rPr>
            </w:pPr>
            <w:r>
              <w:rPr>
                <w:lang w:val="fr-FR"/>
              </w:rPr>
              <w:t>Total instruments financiers à terme - autres expositions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1F4AEE" w14:paraId="3A0E1E40" w14:textId="77777777">
            <w:pPr>
              <w:pStyle w:val="Tab3LastColNonGras"/>
              <w:rPr>
                <w:lang w:val="fr-FR"/>
              </w:rPr>
            </w:pPr>
            <w:r>
              <w:rPr>
                <w:lang w:val="fr-FR"/>
              </w:rPr>
              <w:t xml:space="preserve"> </w:t>
            </w:r>
          </w:p>
        </w:tc>
      </w:tr>
      <w:tr w14:paraId="3849EA4B"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1F4AEE" w14:paraId="2A66DCF6" w14:textId="77777777">
            <w:pPr>
              <w:pStyle w:val="Tab1FirstColNonGras"/>
              <w:rPr>
                <w:lang w:val="fr-FR"/>
              </w:rPr>
            </w:pPr>
            <w:r>
              <w:rPr>
                <w:lang w:val="fr-FR"/>
              </w:rPr>
              <w:t>Inventaire des instruments financiers à terme utilisés en couverture de parts émises</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1F4AEE" w14:paraId="4737872F" w14:textId="77777777">
            <w:pPr>
              <w:pStyle w:val="Tab3LastColNonGras"/>
              <w:rPr>
                <w:lang w:val="fr-FR"/>
              </w:rPr>
            </w:pPr>
            <w:r>
              <w:rPr>
                <w:lang w:val="fr-FR"/>
              </w:rPr>
              <w:t xml:space="preserve"> </w:t>
            </w:r>
          </w:p>
        </w:tc>
      </w:tr>
      <w:tr w14:paraId="71903BF6"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1F4AEE" w14:paraId="06AE1F62" w14:textId="77777777">
            <w:pPr>
              <w:pStyle w:val="Tab1FirstColNonGras"/>
              <w:rPr>
                <w:lang w:val="fr-FR"/>
              </w:rPr>
            </w:pPr>
            <w:r>
              <w:rPr>
                <w:lang w:val="fr-FR"/>
              </w:rPr>
              <w:t>Autres actifs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1F4AEE" w14:paraId="60F6A7CD" w14:textId="77777777">
            <w:pPr>
              <w:pStyle w:val="Tab3LastColNonGras"/>
              <w:rPr>
                <w:lang w:val="fr-FR"/>
              </w:rPr>
            </w:pPr>
            <w:r>
              <w:rPr>
                <w:lang w:val="fr-FR"/>
              </w:rPr>
              <w:t>1 432 570,13</w:t>
            </w:r>
          </w:p>
        </w:tc>
      </w:tr>
      <w:tr w14:paraId="4B774A83"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1F4AEE" w14:paraId="45593A10" w14:textId="77777777">
            <w:pPr>
              <w:pStyle w:val="Tab1FirstColNonGras"/>
              <w:rPr>
                <w:lang w:val="fr-FR"/>
              </w:rPr>
            </w:pPr>
            <w:r>
              <w:rPr>
                <w:lang w:val="fr-FR"/>
              </w:rPr>
              <w:t>Autres passifs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1F4AEE" w14:paraId="0B154EA8" w14:textId="77777777">
            <w:pPr>
              <w:pStyle w:val="Tab3LastColNonGras"/>
              <w:rPr>
                <w:lang w:val="fr-FR"/>
              </w:rPr>
            </w:pPr>
            <w:r>
              <w:rPr>
                <w:lang w:val="fr-FR"/>
              </w:rPr>
              <w:t>-249 761,90</w:t>
            </w:r>
          </w:p>
        </w:tc>
      </w:tr>
      <w:tr w14:paraId="67D48247" w14:textId="77777777">
        <w:tblPrEx>
          <w:tblW w:w="5000" w:type="pct"/>
          <w:tblLayout w:type="fixed"/>
          <w:tblLook w:val="04A0"/>
        </w:tblPrEx>
        <w:trPr>
          <w:trHeight w:val="262"/>
        </w:trPr>
        <w:tc>
          <w:tcPr>
            <w:tcW w:w="6740" w:type="dxa"/>
            <w:tcBorders>
              <w:left w:val="single" w:sz="4" w:space="0" w:color="000000"/>
            </w:tcBorders>
            <w:tcMar>
              <w:top w:w="0" w:type="dxa"/>
              <w:left w:w="0" w:type="dxa"/>
              <w:bottom w:w="22" w:type="dxa"/>
              <w:right w:w="0" w:type="dxa"/>
            </w:tcMar>
            <w:vAlign w:val="center"/>
          </w:tcPr>
          <w:p w:rsidR="001F4AEE" w14:paraId="3A72685E" w14:textId="77777777">
            <w:pPr>
              <w:pStyle w:val="Tab1FirstColNonGras"/>
              <w:rPr>
                <w:lang w:val="fr-FR"/>
              </w:rPr>
            </w:pPr>
            <w:r>
              <w:rPr>
                <w:lang w:val="fr-FR"/>
              </w:rPr>
              <w:t>Passifs de financement (-)</w:t>
            </w:r>
          </w:p>
        </w:tc>
        <w:tc>
          <w:tcPr>
            <w:tcW w:w="2900" w:type="dxa"/>
            <w:tcBorders>
              <w:left w:val="single" w:sz="4" w:space="0" w:color="000000"/>
              <w:right w:val="single" w:sz="4" w:space="0" w:color="000000"/>
            </w:tcBorders>
            <w:tcMar>
              <w:top w:w="0" w:type="dxa"/>
              <w:left w:w="0" w:type="dxa"/>
              <w:bottom w:w="0" w:type="dxa"/>
              <w:right w:w="0" w:type="dxa"/>
            </w:tcMar>
            <w:vAlign w:val="center"/>
          </w:tcPr>
          <w:p w:rsidR="001F4AEE" w14:paraId="521AC3C0" w14:textId="77777777">
            <w:pPr>
              <w:pStyle w:val="Tab3LastColNonGras"/>
              <w:rPr>
                <w:lang w:val="fr-FR"/>
              </w:rPr>
            </w:pPr>
            <w:r>
              <w:rPr>
                <w:lang w:val="fr-FR"/>
              </w:rPr>
              <w:t xml:space="preserve"> </w:t>
            </w:r>
          </w:p>
        </w:tc>
      </w:tr>
      <w:tr w14:paraId="2EEF642F" w14:textId="77777777">
        <w:tblPrEx>
          <w:tblW w:w="5000" w:type="pct"/>
          <w:tblLayout w:type="fixed"/>
          <w:tblLook w:val="04A0"/>
        </w:tblPrEx>
        <w:trPr>
          <w:trHeight w:hRule="exact" w:val="38"/>
        </w:trPr>
        <w:tc>
          <w:tcPr>
            <w:tcW w:w="6740" w:type="dxa"/>
            <w:tcBorders>
              <w:left w:val="single" w:sz="4" w:space="0" w:color="000000"/>
            </w:tcBorders>
            <w:tcMar>
              <w:top w:w="0" w:type="dxa"/>
              <w:left w:w="0" w:type="dxa"/>
              <w:bottom w:w="22" w:type="dxa"/>
              <w:right w:w="0" w:type="dxa"/>
            </w:tcMar>
            <w:vAlign w:val="center"/>
          </w:tcPr>
          <w:p w:rsidR="001F4AEE" w14:paraId="5E96BC5A" w14:textId="77777777">
            <w:pPr>
              <w:pStyle w:val="Tab1FirstColNonGrasNoContent"/>
              <w:rPr>
                <w:sz w:val="16"/>
                <w:lang w:val="fr-FR"/>
              </w:rPr>
            </w:pPr>
          </w:p>
        </w:tc>
        <w:tc>
          <w:tcPr>
            <w:tcW w:w="2900" w:type="dxa"/>
            <w:tcBorders>
              <w:left w:val="single" w:sz="4" w:space="0" w:color="000000"/>
              <w:right w:val="single" w:sz="4" w:space="0" w:color="000000"/>
            </w:tcBorders>
            <w:tcMar>
              <w:top w:w="0" w:type="dxa"/>
              <w:left w:w="0" w:type="dxa"/>
              <w:bottom w:w="0" w:type="dxa"/>
              <w:right w:w="0" w:type="dxa"/>
            </w:tcMar>
            <w:vAlign w:val="center"/>
          </w:tcPr>
          <w:p w:rsidR="001F4AEE" w14:paraId="57C4AB60" w14:textId="77777777">
            <w:pPr>
              <w:pStyle w:val="Tab3LastColNonGrasNoContent"/>
              <w:rPr>
                <w:sz w:val="16"/>
                <w:lang w:val="fr-FR"/>
              </w:rPr>
            </w:pPr>
          </w:p>
        </w:tc>
      </w:tr>
      <w:tr w14:paraId="61056516" w14:textId="77777777">
        <w:tblPrEx>
          <w:tblW w:w="5000" w:type="pct"/>
          <w:tblLayout w:type="fixed"/>
          <w:tblLook w:val="04A0"/>
        </w:tblPrEx>
        <w:trPr>
          <w:trHeight w:val="281"/>
        </w:trPr>
        <w:tc>
          <w:tcPr>
            <w:tcW w:w="6740" w:type="dxa"/>
            <w:tcBorders>
              <w:top w:val="single" w:sz="4" w:space="0" w:color="000000"/>
              <w:left w:val="single" w:sz="4" w:space="0" w:color="000000"/>
              <w:bottom w:val="single" w:sz="4" w:space="0" w:color="000000"/>
            </w:tcBorders>
            <w:tcMar>
              <w:top w:w="79" w:type="dxa"/>
              <w:left w:w="0" w:type="dxa"/>
              <w:bottom w:w="45" w:type="dxa"/>
              <w:right w:w="0" w:type="dxa"/>
            </w:tcMar>
            <w:vAlign w:val="center"/>
          </w:tcPr>
          <w:p w:rsidR="001F4AEE" w14:paraId="30E31E8A" w14:textId="77777777">
            <w:pPr>
              <w:pStyle w:val="TotalTabFirstColBordure"/>
              <w:rPr>
                <w:lang w:val="fr-FR"/>
              </w:rPr>
            </w:pPr>
            <w:r>
              <w:rPr>
                <w:lang w:val="fr-FR"/>
              </w:rPr>
              <w:t>Total = actif net</w:t>
            </w:r>
          </w:p>
        </w:tc>
        <w:tc>
          <w:tcPr>
            <w:tcW w:w="2900" w:type="dxa"/>
            <w:tcBorders>
              <w:top w:val="single" w:sz="4" w:space="0" w:color="232323"/>
              <w:left w:val="single" w:sz="4" w:space="0" w:color="232323"/>
              <w:bottom w:val="single" w:sz="4" w:space="0" w:color="232323"/>
              <w:right w:val="single" w:sz="4" w:space="0" w:color="232323"/>
            </w:tcBorders>
            <w:tcMar>
              <w:top w:w="79" w:type="dxa"/>
              <w:left w:w="0" w:type="dxa"/>
              <w:bottom w:w="45" w:type="dxa"/>
              <w:right w:w="0" w:type="dxa"/>
            </w:tcMar>
            <w:vAlign w:val="center"/>
          </w:tcPr>
          <w:p w:rsidR="001F4AEE" w14:paraId="14176835" w14:textId="77777777">
            <w:pPr>
              <w:pStyle w:val="TotalTabLastColBordure"/>
              <w:rPr>
                <w:lang w:val="fr-FR"/>
              </w:rPr>
            </w:pPr>
            <w:r>
              <w:rPr>
                <w:lang w:val="fr-FR"/>
              </w:rPr>
              <w:t>348 088 475,89</w:t>
            </w:r>
          </w:p>
        </w:tc>
      </w:tr>
    </w:tbl>
    <w:p w:rsidR="001F4AEE" w14:paraId="2703E0CC" w14:textId="77777777">
      <w:pPr>
        <w:pStyle w:val="TechnicalBookmark"/>
        <w:rPr>
          <w:lang w:val="fr-FR"/>
        </w:rPr>
      </w:pPr>
    </w:p>
    <w:p w:rsidR="001F4AEE" w14:paraId="5AD3C9D9" w14:textId="77777777">
      <w:pPr>
        <w:pStyle w:val="BreakLine"/>
        <w:rPr>
          <w:lang w:val="fr-FR"/>
        </w:rPr>
      </w:pPr>
      <w:r>
        <w:rPr>
          <w:lang w:val="fr-FR"/>
        </w:rPr>
        <w:t xml:space="preserve"> </w:t>
      </w:r>
    </w:p>
    <w:p w:rsidR="001F4AEE" w14:paraId="09F37E93" w14:textId="77777777">
      <w:pPr>
        <w:pStyle w:val="TechnicalBookmark"/>
        <w:rPr>
          <w:lang w:val="fr-FR"/>
        </w:rPr>
      </w:pPr>
    </w:p>
    <w:tbl>
      <w:tblPr>
        <w:tblW w:w="5000" w:type="pct"/>
        <w:tblLayout w:type="fixed"/>
        <w:tblLook w:val="04A0"/>
      </w:tblPr>
      <w:tblGrid>
        <w:gridCol w:w="4292"/>
        <w:gridCol w:w="1398"/>
        <w:gridCol w:w="1976"/>
        <w:gridCol w:w="1956"/>
      </w:tblGrid>
      <w:tr w14:paraId="43315EA7" w14:textId="77777777">
        <w:tblPrEx>
          <w:tblW w:w="5000" w:type="pct"/>
          <w:tblLayout w:type="fixed"/>
          <w:tblLook w:val="04A0"/>
        </w:tblPrEx>
        <w:trPr>
          <w:trHeight w:val="385"/>
        </w:trPr>
        <w:tc>
          <w:tcPr>
            <w:tcW w:w="43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1F4AEE" w14:paraId="5D4B80BA" w14:textId="77777777">
            <w:pPr>
              <w:pStyle w:val="EnteteTabFirstColBordure"/>
              <w:rPr>
                <w:lang w:val="fr-FR"/>
              </w:rPr>
            </w:pPr>
            <w:r>
              <w:rPr>
                <w:lang w:val="fr-FR"/>
              </w:rPr>
              <w:t>Libellé de la part</w:t>
            </w:r>
          </w:p>
        </w:tc>
        <w:tc>
          <w:tcPr>
            <w:tcW w:w="14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349649AB" w14:textId="77777777">
            <w:pPr>
              <w:pStyle w:val="EnteteTabMiddleColBordure"/>
              <w:rPr>
                <w:lang w:val="fr-FR"/>
              </w:rPr>
            </w:pPr>
            <w:r>
              <w:rPr>
                <w:lang w:val="fr-FR"/>
              </w:rPr>
              <w:t>Devise de la part</w:t>
            </w:r>
          </w:p>
        </w:tc>
        <w:tc>
          <w:tcPr>
            <w:tcW w:w="198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049506C2" w14:textId="77777777">
            <w:pPr>
              <w:pStyle w:val="EnteteTabMiddleColBordure"/>
              <w:rPr>
                <w:lang w:val="fr-FR"/>
              </w:rPr>
            </w:pPr>
            <w:r>
              <w:rPr>
                <w:lang w:val="fr-FR"/>
              </w:rPr>
              <w:t>Nombre de parts</w:t>
            </w:r>
          </w:p>
        </w:tc>
        <w:tc>
          <w:tcPr>
            <w:tcW w:w="196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rsidR="001F4AEE" w14:paraId="6430E796" w14:textId="77777777">
            <w:pPr>
              <w:pStyle w:val="EnteteTabMiddleColBordure"/>
              <w:rPr>
                <w:lang w:val="fr-FR"/>
              </w:rPr>
            </w:pPr>
            <w:r>
              <w:rPr>
                <w:lang w:val="fr-FR"/>
              </w:rPr>
              <w:t>Valeur liquidative</w:t>
            </w:r>
          </w:p>
        </w:tc>
      </w:tr>
      <w:tr w14:paraId="143B0155" w14:textId="77777777">
        <w:tblPrEx>
          <w:tblW w:w="5000" w:type="pct"/>
          <w:tblLayout w:type="fixed"/>
          <w:tblLook w:val="04A0"/>
        </w:tblPrEx>
        <w:trPr>
          <w:trHeight w:hRule="exact" w:val="45"/>
        </w:trPr>
        <w:tc>
          <w:tcPr>
            <w:tcW w:w="4300" w:type="dxa"/>
            <w:tcBorders>
              <w:left w:val="single" w:sz="4" w:space="0" w:color="000000"/>
            </w:tcBorders>
            <w:tcMar>
              <w:top w:w="0" w:type="dxa"/>
              <w:left w:w="0" w:type="dxa"/>
              <w:bottom w:w="0" w:type="dxa"/>
              <w:right w:w="0" w:type="dxa"/>
            </w:tcMar>
            <w:vAlign w:val="center"/>
          </w:tcPr>
          <w:p w:rsidR="001F4AEE" w14:paraId="5808FB7E" w14:textId="77777777">
            <w:pPr>
              <w:pStyle w:val="Tab3FirstColNonGrasNoContent"/>
              <w:rPr>
                <w:sz w:val="16"/>
                <w:lang w:val="fr-FR"/>
              </w:rPr>
            </w:pPr>
          </w:p>
        </w:tc>
        <w:tc>
          <w:tcPr>
            <w:tcW w:w="1400" w:type="dxa"/>
            <w:tcBorders>
              <w:left w:val="single" w:sz="4" w:space="0" w:color="000000"/>
              <w:right w:val="single" w:sz="4" w:space="0" w:color="000000"/>
            </w:tcBorders>
            <w:tcMar>
              <w:top w:w="0" w:type="dxa"/>
              <w:left w:w="0" w:type="dxa"/>
              <w:bottom w:w="0" w:type="dxa"/>
              <w:right w:w="0" w:type="dxa"/>
            </w:tcMar>
            <w:vAlign w:val="center"/>
          </w:tcPr>
          <w:p w:rsidR="001F4AEE" w14:paraId="6BA4EDE8" w14:textId="77777777">
            <w:pPr>
              <w:pStyle w:val="Tab3MiddleColNonGrasNoContent"/>
              <w:rPr>
                <w:sz w:val="16"/>
                <w:lang w:val="fr-FR"/>
              </w:rPr>
            </w:pPr>
          </w:p>
        </w:tc>
        <w:tc>
          <w:tcPr>
            <w:tcW w:w="1980" w:type="dxa"/>
            <w:tcBorders>
              <w:left w:val="single" w:sz="4" w:space="0" w:color="000000"/>
              <w:right w:val="single" w:sz="4" w:space="0" w:color="000000"/>
            </w:tcBorders>
            <w:tcMar>
              <w:top w:w="0" w:type="dxa"/>
              <w:left w:w="0" w:type="dxa"/>
              <w:bottom w:w="0" w:type="dxa"/>
              <w:right w:w="0" w:type="dxa"/>
            </w:tcMar>
            <w:vAlign w:val="center"/>
          </w:tcPr>
          <w:p w:rsidR="001F4AEE" w14:paraId="3147D505" w14:textId="77777777">
            <w:pPr>
              <w:pStyle w:val="Tab3MiddleColNonGrasNoContent"/>
              <w:rPr>
                <w:sz w:val="16"/>
                <w:lang w:val="fr-FR"/>
              </w:rPr>
            </w:pPr>
          </w:p>
        </w:tc>
        <w:tc>
          <w:tcPr>
            <w:tcW w:w="1960" w:type="dxa"/>
            <w:tcBorders>
              <w:left w:val="single" w:sz="4" w:space="0" w:color="000000"/>
              <w:right w:val="single" w:sz="4" w:space="0" w:color="000000"/>
            </w:tcBorders>
            <w:tcMar>
              <w:top w:w="0" w:type="dxa"/>
              <w:left w:w="0" w:type="dxa"/>
              <w:bottom w:w="0" w:type="dxa"/>
              <w:right w:w="0" w:type="dxa"/>
            </w:tcMar>
            <w:vAlign w:val="center"/>
          </w:tcPr>
          <w:p w:rsidR="001F4AEE" w14:paraId="2BC3DE7C" w14:textId="77777777">
            <w:pPr>
              <w:pStyle w:val="Tab3LastColNonGrasNoContent"/>
              <w:rPr>
                <w:sz w:val="16"/>
                <w:lang w:val="fr-FR"/>
              </w:rPr>
            </w:pPr>
          </w:p>
        </w:tc>
      </w:tr>
      <w:tr w14:paraId="006FA873" w14:textId="77777777">
        <w:tblPrEx>
          <w:tblW w:w="5000" w:type="pct"/>
          <w:tblLayout w:type="fixed"/>
          <w:tblLook w:val="04A0"/>
        </w:tblPrEx>
        <w:trPr>
          <w:trHeight w:val="382"/>
        </w:trPr>
        <w:tc>
          <w:tcPr>
            <w:tcW w:w="4300" w:type="dxa"/>
            <w:tcBorders>
              <w:left w:val="single" w:sz="4" w:space="0" w:color="000000"/>
            </w:tcBorders>
            <w:tcMar>
              <w:top w:w="0" w:type="dxa"/>
              <w:left w:w="0" w:type="dxa"/>
              <w:bottom w:w="22" w:type="dxa"/>
              <w:right w:w="0" w:type="dxa"/>
            </w:tcMar>
            <w:vAlign w:val="center"/>
          </w:tcPr>
          <w:p w:rsidR="001F4AEE" w14:paraId="36AEDBE4" w14:textId="77777777">
            <w:pPr>
              <w:pStyle w:val="Tab1FirstColNonGras"/>
              <w:rPr>
                <w:lang w:val="fr-FR"/>
              </w:rPr>
            </w:pPr>
            <w:r>
              <w:rPr>
                <w:lang w:val="fr-FR"/>
              </w:rPr>
              <w:t>Part AMUNDI MSCI WORLD CLIMATE PARIS ALIGNED PAB UMWELTZEICHEN UCITS ETF DR</w:t>
            </w:r>
          </w:p>
        </w:tc>
        <w:tc>
          <w:tcPr>
            <w:tcW w:w="1400" w:type="dxa"/>
            <w:tcBorders>
              <w:left w:val="single" w:sz="4" w:space="0" w:color="000000"/>
              <w:right w:val="single" w:sz="4" w:space="0" w:color="000000"/>
            </w:tcBorders>
            <w:tcMar>
              <w:top w:w="0" w:type="dxa"/>
              <w:left w:w="0" w:type="dxa"/>
              <w:bottom w:w="0" w:type="dxa"/>
              <w:right w:w="0" w:type="dxa"/>
            </w:tcMar>
            <w:vAlign w:val="center"/>
          </w:tcPr>
          <w:p w:rsidR="001F4AEE" w14:paraId="6D3694A4" w14:textId="77777777">
            <w:pPr>
              <w:pStyle w:val="Tab1MiddleColNonGrasCentre"/>
              <w:rPr>
                <w:lang w:val="fr-FR"/>
              </w:rPr>
            </w:pPr>
            <w:r>
              <w:rPr>
                <w:lang w:val="fr-FR"/>
              </w:rPr>
              <w:t>USD</w:t>
            </w:r>
          </w:p>
        </w:tc>
        <w:tc>
          <w:tcPr>
            <w:tcW w:w="1980" w:type="dxa"/>
            <w:tcBorders>
              <w:left w:val="single" w:sz="4" w:space="0" w:color="000000"/>
              <w:right w:val="single" w:sz="4" w:space="0" w:color="000000"/>
            </w:tcBorders>
            <w:tcMar>
              <w:top w:w="0" w:type="dxa"/>
              <w:left w:w="0" w:type="dxa"/>
              <w:bottom w:w="0" w:type="dxa"/>
              <w:right w:w="0" w:type="dxa"/>
            </w:tcMar>
            <w:vAlign w:val="center"/>
          </w:tcPr>
          <w:p w:rsidR="001F4AEE" w14:paraId="61F1371C" w14:textId="77777777">
            <w:pPr>
              <w:pStyle w:val="Tab3LastColNonGras"/>
              <w:rPr>
                <w:lang w:val="fr-FR"/>
              </w:rPr>
            </w:pPr>
            <w:r>
              <w:rPr>
                <w:lang w:val="fr-FR"/>
              </w:rPr>
              <w:t>4 920 381</w:t>
            </w:r>
          </w:p>
        </w:tc>
        <w:tc>
          <w:tcPr>
            <w:tcW w:w="1960" w:type="dxa"/>
            <w:tcBorders>
              <w:left w:val="single" w:sz="4" w:space="0" w:color="000000"/>
              <w:right w:val="single" w:sz="4" w:space="0" w:color="000000"/>
            </w:tcBorders>
            <w:tcMar>
              <w:top w:w="0" w:type="dxa"/>
              <w:left w:w="0" w:type="dxa"/>
              <w:bottom w:w="0" w:type="dxa"/>
              <w:right w:w="0" w:type="dxa"/>
            </w:tcMar>
            <w:vAlign w:val="center"/>
          </w:tcPr>
          <w:p w:rsidR="001F4AEE" w14:paraId="7DDC1DC9" w14:textId="77777777">
            <w:pPr>
              <w:pStyle w:val="Tab3LastColNonGras"/>
              <w:rPr>
                <w:lang w:val="fr-FR"/>
              </w:rPr>
            </w:pPr>
            <w:r>
              <w:rPr>
                <w:lang w:val="fr-FR"/>
              </w:rPr>
              <w:t>70,7442</w:t>
            </w:r>
          </w:p>
        </w:tc>
      </w:tr>
      <w:tr w14:paraId="628C4E80" w14:textId="77777777">
        <w:tblPrEx>
          <w:tblW w:w="5000" w:type="pct"/>
          <w:tblLayout w:type="fixed"/>
          <w:tblLook w:val="04A0"/>
        </w:tblPrEx>
        <w:trPr>
          <w:trHeight w:hRule="exact" w:val="45"/>
        </w:trPr>
        <w:tc>
          <w:tcPr>
            <w:tcW w:w="4300" w:type="dxa"/>
            <w:tcBorders>
              <w:left w:val="single" w:sz="4" w:space="0" w:color="232323"/>
              <w:bottom w:val="single" w:sz="4" w:space="0" w:color="232323"/>
              <w:right w:val="single" w:sz="4" w:space="0" w:color="232323"/>
            </w:tcBorders>
            <w:tcMar>
              <w:top w:w="0" w:type="dxa"/>
              <w:left w:w="0" w:type="dxa"/>
              <w:bottom w:w="0" w:type="dxa"/>
              <w:right w:w="0" w:type="dxa"/>
            </w:tcMar>
          </w:tcPr>
          <w:p w:rsidR="001F4AEE" w14:paraId="569E0424" w14:textId="77777777">
            <w:pPr>
              <w:pStyle w:val="BottomPadding"/>
              <w:rPr>
                <w:lang w:val="fr-FR"/>
              </w:rPr>
            </w:pPr>
            <w:r>
              <w:rPr>
                <w:lang w:val="fr-FR"/>
              </w:rPr>
              <w:t xml:space="preserve"> </w:t>
            </w:r>
          </w:p>
        </w:tc>
        <w:tc>
          <w:tcPr>
            <w:tcW w:w="1400" w:type="dxa"/>
            <w:tcBorders>
              <w:left w:val="single" w:sz="4" w:space="0" w:color="232323"/>
              <w:bottom w:val="single" w:sz="4" w:space="0" w:color="232323"/>
              <w:right w:val="single" w:sz="4" w:space="0" w:color="232323"/>
            </w:tcBorders>
            <w:tcMar>
              <w:top w:w="0" w:type="dxa"/>
              <w:left w:w="0" w:type="dxa"/>
              <w:bottom w:w="0" w:type="dxa"/>
              <w:right w:w="0" w:type="dxa"/>
            </w:tcMar>
          </w:tcPr>
          <w:p w:rsidR="001F4AEE" w14:paraId="0711B40C" w14:textId="77777777">
            <w:pPr>
              <w:pStyle w:val="BottomPadding"/>
              <w:rPr>
                <w:lang w:val="fr-FR"/>
              </w:rPr>
            </w:pPr>
            <w:r>
              <w:rPr>
                <w:lang w:val="fr-FR"/>
              </w:rPr>
              <w:t xml:space="preserve"> </w:t>
            </w:r>
          </w:p>
        </w:tc>
        <w:tc>
          <w:tcPr>
            <w:tcW w:w="1980" w:type="dxa"/>
            <w:tcBorders>
              <w:left w:val="single" w:sz="4" w:space="0" w:color="232323"/>
              <w:bottom w:val="single" w:sz="4" w:space="0" w:color="232323"/>
              <w:right w:val="single" w:sz="4" w:space="0" w:color="232323"/>
            </w:tcBorders>
            <w:tcMar>
              <w:top w:w="0" w:type="dxa"/>
              <w:left w:w="0" w:type="dxa"/>
              <w:bottom w:w="0" w:type="dxa"/>
              <w:right w:w="0" w:type="dxa"/>
            </w:tcMar>
          </w:tcPr>
          <w:p w:rsidR="001F4AEE" w14:paraId="4D34DC91" w14:textId="77777777">
            <w:pPr>
              <w:pStyle w:val="BottomPadding"/>
              <w:rPr>
                <w:lang w:val="fr-FR"/>
              </w:rPr>
            </w:pPr>
            <w:r>
              <w:rPr>
                <w:lang w:val="fr-FR"/>
              </w:rPr>
              <w:t xml:space="preserve"> </w:t>
            </w:r>
          </w:p>
        </w:tc>
        <w:tc>
          <w:tcPr>
            <w:tcW w:w="1960" w:type="dxa"/>
            <w:tcBorders>
              <w:left w:val="single" w:sz="4" w:space="0" w:color="232323"/>
              <w:bottom w:val="single" w:sz="4" w:space="0" w:color="232323"/>
              <w:right w:val="single" w:sz="4" w:space="0" w:color="232323"/>
            </w:tcBorders>
            <w:tcMar>
              <w:top w:w="0" w:type="dxa"/>
              <w:left w:w="0" w:type="dxa"/>
              <w:bottom w:w="0" w:type="dxa"/>
              <w:right w:w="0" w:type="dxa"/>
            </w:tcMar>
          </w:tcPr>
          <w:p w:rsidR="001F4AEE" w14:paraId="7FFE86F4" w14:textId="77777777">
            <w:pPr>
              <w:pStyle w:val="BottomPadding"/>
              <w:rPr>
                <w:lang w:val="fr-FR"/>
              </w:rPr>
            </w:pPr>
            <w:r>
              <w:rPr>
                <w:lang w:val="fr-FR"/>
              </w:rPr>
              <w:t xml:space="preserve"> </w:t>
            </w:r>
          </w:p>
        </w:tc>
      </w:tr>
    </w:tbl>
    <w:p w:rsidR="001F4AEE" w14:paraId="3BAC7B1D" w14:textId="77777777">
      <w:pPr>
        <w:pStyle w:val="TechnicalBookmark"/>
        <w:rPr>
          <w:lang w:val="fr-FR"/>
        </w:rPr>
        <w:sectPr>
          <w:headerReference w:type="default" r:id="rId70"/>
          <w:footerReference w:type="default" r:id="rId71"/>
          <w:pgSz w:w="11900" w:h="16840"/>
          <w:pgMar w:top="2154" w:right="1134" w:bottom="1134" w:left="1134" w:header="400" w:footer="400" w:gutter="0"/>
          <w:cols w:space="720"/>
        </w:sectPr>
      </w:pPr>
    </w:p>
    <w:p w:rsidR="001F4AEE" w14:paraId="48EF8F35" w14:textId="77777777">
      <w:pPr>
        <w:pStyle w:val="ContributionEnd"/>
        <w:rPr>
          <w:sz w:val="18"/>
          <w:lang w:val="fr-FR"/>
        </w:rPr>
      </w:pPr>
      <w:bookmarkStart w:id="150" w:name="BACKCOVER_START"/>
      <w:bookmarkEnd w:id="150"/>
    </w:p>
    <w:tbl>
      <w:tblPr>
        <w:tblW w:w="0" w:type="auto"/>
        <w:tblInd w:w="800" w:type="dxa"/>
        <w:tblLayout w:type="fixed"/>
        <w:tblLook w:val="04A0"/>
      </w:tblPr>
      <w:tblGrid>
        <w:gridCol w:w="20"/>
        <w:gridCol w:w="20"/>
        <w:gridCol w:w="6980"/>
        <w:gridCol w:w="580"/>
        <w:gridCol w:w="2600"/>
        <w:gridCol w:w="620"/>
        <w:gridCol w:w="260"/>
      </w:tblGrid>
      <w:tr w14:paraId="75568DAE" w14:textId="77777777">
        <w:tblPrEx>
          <w:tblW w:w="0" w:type="auto"/>
          <w:tblInd w:w="800" w:type="dxa"/>
          <w:tblLayout w:type="fixed"/>
          <w:tblLook w:val="04A0"/>
        </w:tblPrEx>
        <w:tc>
          <w:tcPr>
            <w:tcW w:w="20" w:type="dxa"/>
            <w:tcMar>
              <w:top w:w="0" w:type="dxa"/>
              <w:left w:w="0" w:type="dxa"/>
              <w:bottom w:w="0" w:type="dxa"/>
              <w:right w:w="0" w:type="dxa"/>
            </w:tcMar>
          </w:tcPr>
          <w:p w:rsidR="001F4AEE" w14:paraId="2955C03B" w14:textId="77777777"/>
        </w:tc>
        <w:tc>
          <w:tcPr>
            <w:tcW w:w="20" w:type="dxa"/>
            <w:tcMar>
              <w:top w:w="0" w:type="dxa"/>
              <w:left w:w="0" w:type="dxa"/>
              <w:bottom w:w="0" w:type="dxa"/>
              <w:right w:w="0" w:type="dxa"/>
            </w:tcMar>
          </w:tcPr>
          <w:p w:rsidR="001F4AEE" w14:paraId="59BC5CAB" w14:textId="77777777"/>
        </w:tc>
        <w:tc>
          <w:tcPr>
            <w:tcW w:w="6980" w:type="dxa"/>
            <w:tcMar>
              <w:top w:w="0" w:type="dxa"/>
              <w:left w:w="0" w:type="dxa"/>
              <w:bottom w:w="0" w:type="dxa"/>
              <w:right w:w="0" w:type="dxa"/>
            </w:tcMar>
          </w:tcPr>
          <w:p w:rsidR="001F4AEE" w14:paraId="2A3BDFAB" w14:textId="77777777"/>
        </w:tc>
        <w:tc>
          <w:tcPr>
            <w:tcW w:w="580" w:type="dxa"/>
            <w:tcMar>
              <w:top w:w="0" w:type="dxa"/>
              <w:left w:w="0" w:type="dxa"/>
              <w:bottom w:w="0" w:type="dxa"/>
              <w:right w:w="0" w:type="dxa"/>
            </w:tcMar>
          </w:tcPr>
          <w:p w:rsidR="001F4AEE" w14:paraId="56006AE7" w14:textId="77777777"/>
        </w:tc>
        <w:tc>
          <w:tcPr>
            <w:tcW w:w="2600" w:type="dxa"/>
            <w:tcMar>
              <w:top w:w="0" w:type="dxa"/>
              <w:left w:w="0" w:type="dxa"/>
              <w:bottom w:w="0" w:type="dxa"/>
              <w:right w:w="0" w:type="dxa"/>
            </w:tcMar>
          </w:tcPr>
          <w:p w:rsidR="001F4AEE" w14:paraId="6911FA34" w14:textId="77777777"/>
        </w:tc>
        <w:tc>
          <w:tcPr>
            <w:tcW w:w="620" w:type="dxa"/>
            <w:tcMar>
              <w:top w:w="0" w:type="dxa"/>
              <w:left w:w="0" w:type="dxa"/>
              <w:bottom w:w="0" w:type="dxa"/>
              <w:right w:w="0" w:type="dxa"/>
            </w:tcMar>
          </w:tcPr>
          <w:p w:rsidR="001F4AEE" w14:paraId="71B8985F" w14:textId="77777777"/>
        </w:tc>
        <w:tc>
          <w:tcPr>
            <w:tcW w:w="260" w:type="dxa"/>
            <w:tcMar>
              <w:top w:w="0" w:type="dxa"/>
              <w:left w:w="0" w:type="dxa"/>
              <w:bottom w:w="0" w:type="dxa"/>
              <w:right w:w="0" w:type="dxa"/>
            </w:tcMar>
          </w:tcPr>
          <w:p w:rsidR="001F4AEE" w14:paraId="51BA5B8A" w14:textId="77777777"/>
        </w:tc>
      </w:tr>
      <w:tr w14:paraId="1D084129" w14:textId="77777777">
        <w:tblPrEx>
          <w:tblW w:w="0" w:type="auto"/>
          <w:tblInd w:w="800" w:type="dxa"/>
          <w:tblLayout w:type="fixed"/>
          <w:tblLook w:val="04A0"/>
        </w:tblPrEx>
        <w:trPr>
          <w:trHeight w:val="11805"/>
        </w:trPr>
        <w:tc>
          <w:tcPr>
            <w:tcW w:w="20" w:type="dxa"/>
            <w:tcMar>
              <w:top w:w="0" w:type="dxa"/>
              <w:left w:w="0" w:type="dxa"/>
              <w:bottom w:w="0" w:type="dxa"/>
              <w:right w:w="0" w:type="dxa"/>
            </w:tcMar>
          </w:tcPr>
          <w:p w:rsidR="001F4AEE" w14:paraId="1486302B" w14:textId="77777777"/>
        </w:tc>
        <w:tc>
          <w:tcPr>
            <w:tcW w:w="20" w:type="dxa"/>
            <w:tcMar>
              <w:top w:w="0" w:type="dxa"/>
              <w:left w:w="0" w:type="dxa"/>
              <w:bottom w:w="0" w:type="dxa"/>
              <w:right w:w="0" w:type="dxa"/>
            </w:tcMar>
          </w:tcPr>
          <w:p w:rsidR="001F4AEE" w14:paraId="7AF2A115" w14:textId="77777777"/>
        </w:tc>
        <w:tc>
          <w:tcPr>
            <w:tcW w:w="11040" w:type="dxa"/>
            <w:gridSpan w:val="5"/>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1F4AEE" w14:paraId="491A9D10" w14:textId="77777777"/>
        </w:tc>
      </w:tr>
      <w:tr w14:paraId="22DEAF24" w14:textId="77777777">
        <w:tblPrEx>
          <w:tblW w:w="0" w:type="auto"/>
          <w:tblInd w:w="800" w:type="dxa"/>
          <w:tblLayout w:type="fixed"/>
          <w:tblLook w:val="04A0"/>
        </w:tblPrEx>
        <w:tc>
          <w:tcPr>
            <w:tcW w:w="20" w:type="dxa"/>
            <w:tcMar>
              <w:top w:w="0" w:type="dxa"/>
              <w:left w:w="0" w:type="dxa"/>
              <w:bottom w:w="0" w:type="dxa"/>
              <w:right w:w="0" w:type="dxa"/>
            </w:tcMar>
          </w:tcPr>
          <w:p w:rsidR="001F4AEE" w14:paraId="60B88D45" w14:textId="77777777"/>
        </w:tc>
        <w:tc>
          <w:tcPr>
            <w:tcW w:w="10800" w:type="dxa"/>
            <w:gridSpan w:val="5"/>
            <w:tcMar>
              <w:top w:w="0" w:type="dxa"/>
              <w:left w:w="0" w:type="dxa"/>
              <w:bottom w:w="0" w:type="dxa"/>
              <w:right w:w="0" w:type="dxa"/>
            </w:tcMar>
          </w:tcPr>
          <w:p w:rsidR="001F4AEE" w14:paraId="231085EE" w14:textId="77777777"/>
        </w:tc>
        <w:tc>
          <w:tcPr>
            <w:tcW w:w="260" w:type="dxa"/>
            <w:tcMar>
              <w:top w:w="0" w:type="dxa"/>
              <w:left w:w="0" w:type="dxa"/>
              <w:bottom w:w="0" w:type="dxa"/>
              <w:right w:w="0" w:type="dxa"/>
            </w:tcMar>
          </w:tcPr>
          <w:p w:rsidR="001F4AEE" w14:paraId="4BEECA96" w14:textId="77777777"/>
        </w:tc>
      </w:tr>
      <w:tr w14:paraId="0FDE16AE" w14:textId="77777777">
        <w:tblPrEx>
          <w:tblW w:w="0" w:type="auto"/>
          <w:tblInd w:w="800" w:type="dxa"/>
          <w:tblLayout w:type="fixed"/>
          <w:tblLook w:val="04A0"/>
        </w:tblPrEx>
        <w:trPr>
          <w:trHeight w:val="385"/>
        </w:trPr>
        <w:tc>
          <w:tcPr>
            <w:tcW w:w="20" w:type="dxa"/>
            <w:tcMar>
              <w:top w:w="0" w:type="dxa"/>
              <w:left w:w="0" w:type="dxa"/>
              <w:bottom w:w="0" w:type="dxa"/>
              <w:right w:w="0" w:type="dxa"/>
            </w:tcMar>
          </w:tcPr>
          <w:p w:rsidR="001F4AEE" w14:paraId="53F1B8F7" w14:textId="77777777"/>
        </w:tc>
        <w:tc>
          <w:tcPr>
            <w:tcW w:w="20" w:type="dxa"/>
            <w:tcMar>
              <w:top w:w="0" w:type="dxa"/>
              <w:left w:w="0" w:type="dxa"/>
              <w:bottom w:w="0" w:type="dxa"/>
              <w:right w:w="0" w:type="dxa"/>
            </w:tcMar>
          </w:tcPr>
          <w:p w:rsidR="001F4AEE" w14:paraId="7B51C11B" w14:textId="77777777"/>
        </w:tc>
        <w:tc>
          <w:tcPr>
            <w:tcW w:w="6980" w:type="dxa"/>
            <w:tcMar>
              <w:top w:w="0" w:type="dxa"/>
              <w:left w:w="0" w:type="dxa"/>
              <w:bottom w:w="0" w:type="dxa"/>
              <w:right w:w="0" w:type="dxa"/>
            </w:tcMar>
          </w:tcPr>
          <w:p w:rsidR="001F4AEE" w14:paraId="0A6A1FCC" w14:textId="77777777"/>
        </w:tc>
        <w:tc>
          <w:tcPr>
            <w:tcW w:w="4060" w:type="dxa"/>
            <w:gridSpan w:val="4"/>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1F4AEE" w14:paraId="245299AC" w14:textId="77777777"/>
        </w:tc>
      </w:tr>
      <w:tr w14:paraId="5DD6EC4E" w14:textId="77777777">
        <w:tblPrEx>
          <w:tblW w:w="0" w:type="auto"/>
          <w:tblInd w:w="800" w:type="dxa"/>
          <w:tblLayout w:type="fixed"/>
          <w:tblLook w:val="04A0"/>
        </w:tblPrEx>
        <w:trPr>
          <w:trHeight w:val="985"/>
        </w:trPr>
        <w:tc>
          <w:tcPr>
            <w:tcW w:w="20" w:type="dxa"/>
            <w:tcMar>
              <w:top w:w="0" w:type="dxa"/>
              <w:left w:w="0" w:type="dxa"/>
              <w:bottom w:w="0" w:type="dxa"/>
              <w:right w:w="0" w:type="dxa"/>
            </w:tcMar>
          </w:tcPr>
          <w:p w:rsidR="001F4AEE" w14:paraId="5618D7B8" w14:textId="77777777"/>
        </w:tc>
        <w:tc>
          <w:tcPr>
            <w:tcW w:w="7000" w:type="dxa"/>
            <w:gridSpan w:val="2"/>
            <w:vMerge w:val="restart"/>
            <w:tcMar>
              <w:top w:w="0" w:type="dxa"/>
              <w:left w:w="0" w:type="dxa"/>
              <w:bottom w:w="0" w:type="dxa"/>
              <w:right w:w="0" w:type="dxa"/>
            </w:tcMar>
          </w:tcPr>
          <w:p w:rsidR="001F4AEE" w:rsidRPr="00D61EB0" w14:paraId="121884C4" w14:textId="77777777">
            <w:pPr>
              <w:pStyle w:val="NormalNoContent"/>
              <w:spacing w:line="45" w:lineRule="exact"/>
              <w:rPr>
                <w:sz w:val="5"/>
                <w:lang w:val="fr-FR"/>
              </w:rPr>
            </w:pPr>
          </w:p>
          <w:p w:rsidR="001F4AEE" w14:paraId="51A9FB4A" w14:textId="77777777">
            <w:pPr>
              <w:spacing w:after="30"/>
              <w:rPr>
                <w:rFonts w:ascii="Arial" w:eastAsia="Arial" w:hAnsi="Arial" w:cs="Arial"/>
                <w:color w:val="00A0E3"/>
                <w:sz w:val="20"/>
                <w:lang w:val="fr-FR"/>
              </w:rPr>
            </w:pPr>
            <w:r>
              <w:rPr>
                <w:rFonts w:ascii="Arial" w:eastAsia="Arial" w:hAnsi="Arial" w:cs="Arial"/>
                <w:color w:val="00A0E3"/>
                <w:sz w:val="20"/>
                <w:lang w:val="fr-FR"/>
              </w:rPr>
              <w:t>MENTIONS LÉGALES</w:t>
            </w:r>
          </w:p>
          <w:p w:rsidR="001F4AEE" w:rsidRPr="00D61EB0" w14:paraId="011A268B" w14:textId="77777777">
            <w:pPr>
              <w:pStyle w:val="NormalNoContent"/>
              <w:spacing w:after="15" w:line="240" w:lineRule="exact"/>
              <w:rPr>
                <w:sz w:val="24"/>
                <w:lang w:val="fr-FR"/>
              </w:rPr>
            </w:pPr>
          </w:p>
          <w:p w:rsidR="001F4AEE" w14:paraId="6345621C" w14:textId="77777777">
            <w:pPr>
              <w:pStyle w:val="CoverPropertyValue1"/>
              <w:rPr>
                <w:lang w:val="fr-FR"/>
              </w:rPr>
            </w:pPr>
            <w:r>
              <w:rPr>
                <w:lang w:val="fr-FR"/>
              </w:rPr>
              <w:t>Amundi Asset Management</w:t>
            </w:r>
          </w:p>
          <w:p w:rsidR="001F4AEE" w14:paraId="77D1AE2D" w14:textId="77777777">
            <w:pPr>
              <w:pStyle w:val="CoverPropertyValue1"/>
              <w:rPr>
                <w:lang w:val="fr-FR"/>
              </w:rPr>
            </w:pPr>
            <w:r>
              <w:rPr>
                <w:lang w:val="fr-FR"/>
              </w:rPr>
              <w:t>Siège social : 91-93 boulevard Pasteur - 75015 Paris - France.</w:t>
            </w:r>
          </w:p>
          <w:p w:rsidR="001F4AEE" w14:paraId="4213F021" w14:textId="77777777">
            <w:pPr>
              <w:pStyle w:val="CoverPropertyValue1"/>
              <w:rPr>
                <w:lang w:val="fr-FR"/>
              </w:rPr>
            </w:pPr>
            <w:r>
              <w:rPr>
                <w:lang w:val="fr-FR"/>
              </w:rPr>
              <w:t>Adresse postale : 91-93 boulevard Pasteur CS21564 75730 Paris Cedex 15 - France.</w:t>
            </w:r>
          </w:p>
          <w:p w:rsidR="001F4AEE" w14:paraId="11EFFE87" w14:textId="77777777">
            <w:pPr>
              <w:pStyle w:val="CoverPropertyValue1"/>
              <w:rPr>
                <w:lang w:val="fr-FR"/>
              </w:rPr>
            </w:pPr>
            <w:r>
              <w:rPr>
                <w:lang w:val="fr-FR"/>
              </w:rPr>
              <w:t>Tél. +33 (0)1 76 33 30 30- amundi.com</w:t>
            </w:r>
          </w:p>
          <w:p w:rsidR="001F4AEE" w14:paraId="3F044108" w14:textId="77777777">
            <w:pPr>
              <w:pStyle w:val="CoverPropertyValue1"/>
              <w:rPr>
                <w:lang w:val="fr-FR"/>
              </w:rPr>
            </w:pPr>
            <w:r>
              <w:rPr>
                <w:lang w:val="fr-FR"/>
              </w:rPr>
              <w:t>Société par Actions Simplifiée - SAS au capital de 1 143 615 555 euros - Société de Gestion de</w:t>
            </w:r>
          </w:p>
          <w:p w:rsidR="001F4AEE" w14:paraId="213FAE65" w14:textId="77777777">
            <w:pPr>
              <w:pStyle w:val="CoverPropertyValue1"/>
              <w:rPr>
                <w:lang w:val="fr-FR"/>
              </w:rPr>
            </w:pPr>
            <w:r>
              <w:rPr>
                <w:lang w:val="fr-FR"/>
              </w:rPr>
              <w:t>Portefeuille agréée par l'AMF sous le numéro GP 04 000 036.</w:t>
            </w:r>
          </w:p>
          <w:p w:rsidR="001F4AEE" w14:paraId="23120E0B" w14:textId="77777777">
            <w:pPr>
              <w:pStyle w:val="CoverPropertyValue1"/>
              <w:rPr>
                <w:lang w:val="fr-FR"/>
              </w:rPr>
            </w:pPr>
            <w:r>
              <w:rPr>
                <w:lang w:val="fr-FR"/>
              </w:rPr>
              <w:t>Siren</w:t>
            </w:r>
            <w:r>
              <w:rPr>
                <w:lang w:val="fr-FR"/>
              </w:rPr>
              <w:t xml:space="preserve"> : 437 574 452 RCS Paris - Siret : 43757445200029 - Code APE : 6630 Z - N° Identification</w:t>
            </w:r>
          </w:p>
          <w:p w:rsidR="001F4AEE" w14:paraId="06B17C10" w14:textId="77777777">
            <w:pPr>
              <w:pStyle w:val="CoverPropertyValue1"/>
              <w:spacing w:after="150"/>
              <w:rPr>
                <w:lang w:val="fr-FR"/>
              </w:rPr>
            </w:pPr>
            <w:r>
              <w:rPr>
                <w:lang w:val="fr-FR"/>
              </w:rPr>
              <w:t>TVA : FR58437574452.</w:t>
            </w:r>
          </w:p>
          <w:tbl>
            <w:tblPr>
              <w:tblW w:w="0" w:type="auto"/>
              <w:tblLayout w:type="fixed"/>
              <w:tblLook w:val="04A0"/>
            </w:tblPr>
            <w:tblGrid>
              <w:gridCol w:w="1500"/>
            </w:tblGrid>
            <w:tr w14:paraId="7CEDE581" w14:textId="77777777">
              <w:tblPrEx>
                <w:tblW w:w="0" w:type="auto"/>
                <w:tblLayout w:type="fixed"/>
                <w:tblLook w:val="04A0"/>
              </w:tblPrEx>
              <w:trPr>
                <w:trHeight w:hRule="exact" w:val="65"/>
              </w:trPr>
              <w:tc>
                <w:tcPr>
                  <w:tcW w:w="1500" w:type="dxa"/>
                  <w:shd w:val="clear" w:color="003C64" w:fill="003C64"/>
                  <w:tcMar>
                    <w:top w:w="0" w:type="dxa"/>
                    <w:left w:w="0" w:type="dxa"/>
                    <w:bottom w:w="0" w:type="dxa"/>
                    <w:right w:w="0" w:type="dxa"/>
                  </w:tcMar>
                </w:tcPr>
                <w:p w:rsidR="001F4AEE" w14:paraId="61F130E6" w14:textId="77777777"/>
              </w:tc>
            </w:tr>
          </w:tbl>
          <w:p w:rsidR="001F4AEE" w14:paraId="4D8A9307" w14:textId="77777777"/>
        </w:tc>
        <w:tc>
          <w:tcPr>
            <w:tcW w:w="4060" w:type="dxa"/>
            <w:gridSpan w:val="4"/>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1F4AEE" w14:paraId="58375579" w14:textId="77777777"/>
        </w:tc>
      </w:tr>
      <w:tr w14:paraId="34F7B824" w14:textId="77777777">
        <w:tblPrEx>
          <w:tblW w:w="0" w:type="auto"/>
          <w:tblInd w:w="800" w:type="dxa"/>
          <w:tblLayout w:type="fixed"/>
          <w:tblLook w:val="04A0"/>
        </w:tblPrEx>
        <w:trPr>
          <w:trHeight w:val="1185"/>
        </w:trPr>
        <w:tc>
          <w:tcPr>
            <w:tcW w:w="20" w:type="dxa"/>
            <w:tcMar>
              <w:top w:w="0" w:type="dxa"/>
              <w:left w:w="0" w:type="dxa"/>
              <w:bottom w:w="0" w:type="dxa"/>
              <w:right w:w="0" w:type="dxa"/>
            </w:tcMar>
          </w:tcPr>
          <w:p w:rsidR="001F4AEE" w14:paraId="19345503" w14:textId="77777777"/>
        </w:tc>
        <w:tc>
          <w:tcPr>
            <w:tcW w:w="7000" w:type="dxa"/>
            <w:gridSpan w:val="2"/>
            <w:vMerge/>
            <w:tcMar>
              <w:top w:w="0" w:type="dxa"/>
              <w:left w:w="0" w:type="dxa"/>
              <w:bottom w:w="0" w:type="dxa"/>
              <w:right w:w="0" w:type="dxa"/>
            </w:tcMar>
          </w:tcPr>
          <w:p w:rsidR="001F4AEE" w14:paraId="07AE246B" w14:textId="77777777"/>
        </w:tc>
        <w:tc>
          <w:tcPr>
            <w:tcW w:w="580" w:type="dxa"/>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1F4AEE" w14:paraId="3EB7C58F" w14:textId="77777777"/>
        </w:tc>
        <w:tc>
          <w:tcPr>
            <w:tcW w:w="2600" w:type="dxa"/>
            <w:tcMar>
              <w:top w:w="0" w:type="dxa"/>
              <w:left w:w="0" w:type="dxa"/>
              <w:bottom w:w="0" w:type="dxa"/>
              <w:right w:w="0" w:type="dxa"/>
            </w:tcMar>
          </w:tcPr>
          <w:p w:rsidR="001F4AEE" w14:paraId="2B22CAA1" w14:textId="77777777">
            <w:r>
              <w:rPr>
                <w:noProof/>
              </w:rPr>
              <w:drawing>
                <wp:inline distT="0" distB="0" distL="0" distR="0">
                  <wp:extent cx="1625600" cy="75974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5600" cy="759745"/>
                          </a:xfrm>
                          <a:prstGeom prst="rect">
                            <a:avLst/>
                          </a:prstGeom>
                          <a:noFill/>
                          <a:ln>
                            <a:noFill/>
                          </a:ln>
                        </pic:spPr>
                      </pic:pic>
                    </a:graphicData>
                  </a:graphic>
                </wp:inline>
              </w:drawing>
            </w:r>
          </w:p>
        </w:tc>
        <w:tc>
          <w:tcPr>
            <w:tcW w:w="880" w:type="dxa"/>
            <w:gridSpan w:val="2"/>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1F4AEE" w14:paraId="70C4477F" w14:textId="77777777"/>
        </w:tc>
      </w:tr>
      <w:tr w14:paraId="4D83E3C0" w14:textId="77777777">
        <w:tblPrEx>
          <w:tblW w:w="0" w:type="auto"/>
          <w:tblInd w:w="800" w:type="dxa"/>
          <w:tblLayout w:type="fixed"/>
          <w:tblLook w:val="04A0"/>
        </w:tblPrEx>
        <w:trPr>
          <w:trHeight w:val="365"/>
        </w:trPr>
        <w:tc>
          <w:tcPr>
            <w:tcW w:w="20" w:type="dxa"/>
            <w:tcMar>
              <w:top w:w="0" w:type="dxa"/>
              <w:left w:w="0" w:type="dxa"/>
              <w:bottom w:w="0" w:type="dxa"/>
              <w:right w:w="0" w:type="dxa"/>
            </w:tcMar>
          </w:tcPr>
          <w:p w:rsidR="001F4AEE" w14:paraId="1E60113A" w14:textId="77777777"/>
        </w:tc>
        <w:tc>
          <w:tcPr>
            <w:tcW w:w="7000" w:type="dxa"/>
            <w:gridSpan w:val="2"/>
            <w:vMerge/>
            <w:tcMar>
              <w:top w:w="0" w:type="dxa"/>
              <w:left w:w="0" w:type="dxa"/>
              <w:bottom w:w="0" w:type="dxa"/>
              <w:right w:w="0" w:type="dxa"/>
            </w:tcMar>
          </w:tcPr>
          <w:p w:rsidR="001F4AEE" w14:paraId="668190DF" w14:textId="77777777"/>
        </w:tc>
        <w:tc>
          <w:tcPr>
            <w:tcW w:w="58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1F4AEE" w14:paraId="139F9AB3" w14:textId="77777777"/>
        </w:tc>
        <w:tc>
          <w:tcPr>
            <w:tcW w:w="2600" w:type="dxa"/>
            <w:vMerge w:val="restart"/>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1F4AEE" w14:paraId="6CFE76C7" w14:textId="77777777"/>
        </w:tc>
        <w:tc>
          <w:tcPr>
            <w:tcW w:w="880" w:type="dxa"/>
            <w:gridSpan w:val="2"/>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1F4AEE" w14:paraId="791FA182" w14:textId="77777777"/>
        </w:tc>
      </w:tr>
      <w:tr w14:paraId="529EB1AD" w14:textId="77777777">
        <w:tblPrEx>
          <w:tblW w:w="0" w:type="auto"/>
          <w:tblInd w:w="800" w:type="dxa"/>
          <w:tblLayout w:type="fixed"/>
          <w:tblLook w:val="04A0"/>
        </w:tblPrEx>
        <w:trPr>
          <w:trHeight w:val="545"/>
        </w:trPr>
        <w:tc>
          <w:tcPr>
            <w:tcW w:w="20" w:type="dxa"/>
            <w:tcMar>
              <w:top w:w="0" w:type="dxa"/>
              <w:left w:w="0" w:type="dxa"/>
              <w:bottom w:w="0" w:type="dxa"/>
              <w:right w:w="0" w:type="dxa"/>
            </w:tcMar>
          </w:tcPr>
          <w:p w:rsidR="001F4AEE" w14:paraId="57C50967" w14:textId="77777777"/>
        </w:tc>
        <w:tc>
          <w:tcPr>
            <w:tcW w:w="20" w:type="dxa"/>
            <w:tcMar>
              <w:top w:w="0" w:type="dxa"/>
              <w:left w:w="0" w:type="dxa"/>
              <w:bottom w:w="0" w:type="dxa"/>
              <w:right w:w="0" w:type="dxa"/>
            </w:tcMar>
          </w:tcPr>
          <w:p w:rsidR="001F4AEE" w14:paraId="3D06874A" w14:textId="77777777"/>
        </w:tc>
        <w:tc>
          <w:tcPr>
            <w:tcW w:w="6980" w:type="dxa"/>
            <w:tcMar>
              <w:top w:w="0" w:type="dxa"/>
              <w:left w:w="0" w:type="dxa"/>
              <w:bottom w:w="0" w:type="dxa"/>
              <w:right w:w="0" w:type="dxa"/>
            </w:tcMar>
          </w:tcPr>
          <w:p w:rsidR="001F4AEE" w14:paraId="3E80F7AD" w14:textId="77777777"/>
        </w:tc>
        <w:tc>
          <w:tcPr>
            <w:tcW w:w="58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1F4AEE" w14:paraId="74AA80DC" w14:textId="77777777"/>
        </w:tc>
        <w:tc>
          <w:tcPr>
            <w:tcW w:w="2600" w:type="dxa"/>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1F4AEE" w14:paraId="4C1E7008" w14:textId="77777777"/>
        </w:tc>
        <w:tc>
          <w:tcPr>
            <w:tcW w:w="880" w:type="dxa"/>
            <w:gridSpan w:val="2"/>
            <w:vMerge/>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rsidR="001F4AEE" w14:paraId="46BCC357" w14:textId="77777777"/>
        </w:tc>
      </w:tr>
    </w:tbl>
    <w:p w:rsidR="001F4AEE" w14:paraId="2D132838" w14:textId="77777777">
      <w:pPr>
        <w:ind w:left="9900"/>
        <w:rPr>
          <w:rFonts w:ascii="Arial" w:eastAsia="Arial" w:hAnsi="Arial" w:cs="Arial"/>
          <w:lang w:val="fr-FR"/>
        </w:rPr>
      </w:pPr>
      <w:bookmarkStart w:id="151" w:name="BACKCOVER_END"/>
      <w:bookmarkEnd w:id="151"/>
    </w:p>
    <w:sectPr>
      <w:headerReference w:type="even" r:id="rId72"/>
      <w:headerReference w:type="default" r:id="rId73"/>
      <w:footerReference w:type="even" r:id="rId74"/>
      <w:footerReference w:type="default" r:id="rId75"/>
      <w:headerReference w:type="first" r:id="rId76"/>
      <w:footerReference w:type="first" r:id="rId77"/>
      <w:pgSz w:w="11900" w:h="16840"/>
      <w:pgMar w:top="0" w:right="0" w:bottom="0" w:left="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embedRegular r:id="rId1" w:subsetted="1" w:fontKey="{EC9979EB-6F6C-4650-B5F8-4D59E692E7F8}"/>
  </w:font>
  <w:font w:name="Times New Roman">
    <w:panose1 w:val="02020603050405020304"/>
    <w:charset w:val="00"/>
    <w:family w:val="roman"/>
    <w:pitch w:val="variable"/>
    <w:sig w:usb0="E0002EFF" w:usb1="C000785B" w:usb2="00000009" w:usb3="00000000" w:csb0="000001FF" w:csb1="00000000"/>
    <w:embedRegular r:id="rId2" w:subsetted="1" w:fontKey="{C1BDA3AB-F761-4B8C-87E5-5E294711DE95}"/>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embedRegular r:id="rId3" w:subsetted="1" w:fontKey="{1A179885-09CF-44B2-8264-224A5E188DD6}"/>
  </w:font>
  <w:font w:name="Arial">
    <w:panose1 w:val="020B0604020202020204"/>
    <w:charset w:val="00"/>
    <w:family w:val="swiss"/>
    <w:pitch w:val="variable"/>
    <w:sig w:usb0="E0002EFF" w:usb1="C000785B" w:usb2="00000009" w:usb3="00000000" w:csb0="000001FF" w:csb1="00000000"/>
    <w:embedRegular r:id="rId4" w:subsetted="1" w:fontKey="{8935C01F-9179-498C-855A-F594E41E8369}"/>
    <w:embedBold r:id="rId5" w:subsetted="1" w:fontKey="{27D15F8C-69A8-4722-920B-1E2D451120AB}"/>
    <w:embedItalic r:id="rId6" w:subsetted="1" w:fontKey="{38582BD4-AF60-4515-918D-C46AD489AB17}"/>
  </w:font>
  <w:font w:name="Gill Sans MT">
    <w:panose1 w:val="020B0502020104020203"/>
    <w:charset w:val="00"/>
    <w:family w:val="swiss"/>
    <w:pitch w:val="variable"/>
    <w:sig w:usb0="00000007" w:usb1="00000000" w:usb2="00000000" w:usb3="00000000" w:csb0="00000003" w:csb1="00000000"/>
    <w:embedRegular r:id="rId7" w:subsetted="1" w:fontKey="{90679978-8CAB-4131-AA11-4918DAEE1805}"/>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250619F9" w14:textId="77777777">
    <w:pPr>
      <w:spacing w:line="0"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16DC721D"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3A6875B3"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22127D95" w14:textId="77777777">
          <w:pPr>
            <w:spacing w:line="20" w:lineRule="exact"/>
          </w:pPr>
        </w:p>
      </w:tc>
    </w:tr>
  </w:tbl>
  <w:p w:rsidR="001F4AEE" w14:paraId="5478332F" w14:textId="77777777">
    <w:pPr>
      <w:spacing w:line="45" w:lineRule="exact"/>
      <w:rPr>
        <w:sz w:val="5"/>
      </w:rPr>
    </w:pPr>
    <w:r>
      <w:t xml:space="preserve"> </w:t>
    </w:r>
  </w:p>
  <w:tbl>
    <w:tblPr>
      <w:tblW w:w="5000" w:type="pct"/>
      <w:tblLayout w:type="fixed"/>
      <w:tblLook w:val="04A0"/>
    </w:tblPr>
    <w:tblGrid>
      <w:gridCol w:w="6732"/>
      <w:gridCol w:w="1123"/>
      <w:gridCol w:w="1777"/>
    </w:tblGrid>
    <w:tr w14:paraId="4241CE24"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22508624"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0636D46B" w14:textId="77777777"/>
      </w:tc>
      <w:tc>
        <w:tcPr>
          <w:tcW w:w="1900" w:type="dxa"/>
          <w:tcMar>
            <w:top w:w="0" w:type="dxa"/>
            <w:left w:w="0" w:type="dxa"/>
            <w:bottom w:w="0" w:type="dxa"/>
            <w:right w:w="0" w:type="dxa"/>
          </w:tcMar>
        </w:tcPr>
        <w:p w:rsidR="001F4AEE" w14:paraId="007FCF56"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16</w:t>
          </w:r>
          <w:r>
            <w:rPr>
              <w:lang w:val="fr-FR"/>
            </w:rPr>
            <w:fldChar w:fldCharType="end"/>
          </w: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6DED789C"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63D804C"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4A38F5E0" w14:textId="77777777">
          <w:pPr>
            <w:spacing w:line="20" w:lineRule="exact"/>
          </w:pPr>
        </w:p>
      </w:tc>
    </w:tr>
  </w:tbl>
  <w:p w:rsidR="001F4AEE" w14:paraId="006FA8FF" w14:textId="77777777">
    <w:pPr>
      <w:spacing w:line="45" w:lineRule="exact"/>
      <w:rPr>
        <w:sz w:val="5"/>
      </w:rPr>
    </w:pPr>
    <w:r>
      <w:t xml:space="preserve"> </w:t>
    </w:r>
  </w:p>
  <w:tbl>
    <w:tblPr>
      <w:tblW w:w="5000" w:type="pct"/>
      <w:tblLayout w:type="fixed"/>
      <w:tblLook w:val="04A0"/>
    </w:tblPr>
    <w:tblGrid>
      <w:gridCol w:w="6732"/>
      <w:gridCol w:w="1123"/>
      <w:gridCol w:w="1777"/>
    </w:tblGrid>
    <w:tr w14:paraId="10D95F11"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56B2F9C1"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2B244705" w14:textId="77777777"/>
      </w:tc>
      <w:tc>
        <w:tcPr>
          <w:tcW w:w="1900" w:type="dxa"/>
          <w:tcMar>
            <w:top w:w="0" w:type="dxa"/>
            <w:left w:w="0" w:type="dxa"/>
            <w:bottom w:w="0" w:type="dxa"/>
            <w:right w:w="0" w:type="dxa"/>
          </w:tcMar>
        </w:tcPr>
        <w:p w:rsidR="001F4AEE" w14:paraId="29C54AF5"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17</w:t>
          </w:r>
          <w:r>
            <w:rPr>
              <w:lang w:val="fr-FR"/>
            </w:rPr>
            <w:fldChar w:fldCharType="end"/>
          </w:r>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52A35190"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8ADC4CB"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5E7CE6C4" w14:textId="77777777">
          <w:pPr>
            <w:spacing w:line="20" w:lineRule="exact"/>
          </w:pPr>
        </w:p>
      </w:tc>
    </w:tr>
  </w:tbl>
  <w:p w:rsidR="001F4AEE" w14:paraId="3D63868C" w14:textId="77777777">
    <w:pPr>
      <w:spacing w:line="45" w:lineRule="exact"/>
      <w:rPr>
        <w:sz w:val="5"/>
      </w:rPr>
    </w:pPr>
    <w:r>
      <w:t xml:space="preserve"> </w:t>
    </w:r>
  </w:p>
  <w:tbl>
    <w:tblPr>
      <w:tblW w:w="5000" w:type="pct"/>
      <w:tblLayout w:type="fixed"/>
      <w:tblLook w:val="04A0"/>
    </w:tblPr>
    <w:tblGrid>
      <w:gridCol w:w="6732"/>
      <w:gridCol w:w="1123"/>
      <w:gridCol w:w="1777"/>
    </w:tblGrid>
    <w:tr w14:paraId="4CE776FF"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2E2D8ACB"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243250BC" w14:textId="77777777"/>
      </w:tc>
      <w:tc>
        <w:tcPr>
          <w:tcW w:w="1900" w:type="dxa"/>
          <w:tcMar>
            <w:top w:w="0" w:type="dxa"/>
            <w:left w:w="0" w:type="dxa"/>
            <w:bottom w:w="0" w:type="dxa"/>
            <w:right w:w="0" w:type="dxa"/>
          </w:tcMar>
        </w:tcPr>
        <w:p w:rsidR="001F4AEE" w14:paraId="394FFE9C"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18</w:t>
          </w:r>
          <w:r>
            <w:rPr>
              <w:lang w:val="fr-FR"/>
            </w:rPr>
            <w:fldChar w:fldCharType="end"/>
          </w:r>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435CF12A"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194F5BEC"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5F9CB16C" w14:textId="77777777">
          <w:pPr>
            <w:spacing w:line="20" w:lineRule="exact"/>
          </w:pPr>
        </w:p>
      </w:tc>
    </w:tr>
  </w:tbl>
  <w:p w:rsidR="001F4AEE" w14:paraId="14861E7D" w14:textId="77777777">
    <w:pPr>
      <w:spacing w:line="45" w:lineRule="exact"/>
      <w:rPr>
        <w:sz w:val="5"/>
      </w:rPr>
    </w:pPr>
    <w:r>
      <w:t xml:space="preserve"> </w:t>
    </w:r>
  </w:p>
  <w:tbl>
    <w:tblPr>
      <w:tblW w:w="5000" w:type="pct"/>
      <w:tblLayout w:type="fixed"/>
      <w:tblLook w:val="04A0"/>
    </w:tblPr>
    <w:tblGrid>
      <w:gridCol w:w="6732"/>
      <w:gridCol w:w="1123"/>
      <w:gridCol w:w="1777"/>
    </w:tblGrid>
    <w:tr w14:paraId="721CBB09"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784C6C43"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26E231CA" w14:textId="77777777"/>
      </w:tc>
      <w:tc>
        <w:tcPr>
          <w:tcW w:w="1900" w:type="dxa"/>
          <w:tcMar>
            <w:top w:w="0" w:type="dxa"/>
            <w:left w:w="0" w:type="dxa"/>
            <w:bottom w:w="0" w:type="dxa"/>
            <w:right w:w="0" w:type="dxa"/>
          </w:tcMar>
        </w:tcPr>
        <w:p w:rsidR="001F4AEE" w14:paraId="4E9CD824"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19</w:t>
          </w:r>
          <w:r>
            <w:rPr>
              <w:lang w:val="fr-FR"/>
            </w:rPr>
            <w:fldChar w:fldCharType="end"/>
          </w:r>
        </w:p>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284490B2"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2488741"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696FD4ED" w14:textId="77777777">
          <w:pPr>
            <w:spacing w:line="20" w:lineRule="exact"/>
          </w:pPr>
        </w:p>
      </w:tc>
    </w:tr>
  </w:tbl>
  <w:p w:rsidR="001F4AEE" w14:paraId="33798575" w14:textId="77777777">
    <w:pPr>
      <w:spacing w:line="45" w:lineRule="exact"/>
      <w:rPr>
        <w:sz w:val="5"/>
      </w:rPr>
    </w:pPr>
    <w:r>
      <w:t xml:space="preserve"> </w:t>
    </w:r>
  </w:p>
  <w:tbl>
    <w:tblPr>
      <w:tblW w:w="5000" w:type="pct"/>
      <w:tblLayout w:type="fixed"/>
      <w:tblLook w:val="04A0"/>
    </w:tblPr>
    <w:tblGrid>
      <w:gridCol w:w="6732"/>
      <w:gridCol w:w="1123"/>
      <w:gridCol w:w="1777"/>
    </w:tblGrid>
    <w:tr w14:paraId="38CA0409"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58019FDD"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515EC144" w14:textId="77777777"/>
      </w:tc>
      <w:tc>
        <w:tcPr>
          <w:tcW w:w="1900" w:type="dxa"/>
          <w:tcMar>
            <w:top w:w="0" w:type="dxa"/>
            <w:left w:w="0" w:type="dxa"/>
            <w:bottom w:w="0" w:type="dxa"/>
            <w:right w:w="0" w:type="dxa"/>
          </w:tcMar>
        </w:tcPr>
        <w:p w:rsidR="001F4AEE" w14:paraId="3B2941B1"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20</w:t>
          </w:r>
          <w:r>
            <w:rPr>
              <w:lang w:val="fr-FR"/>
            </w:rPr>
            <w:fldChar w:fldCharType="end"/>
          </w:r>
        </w:p>
      </w:tc>
    </w:tr>
  </w:tbl>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7D79CAB9"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742325C"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44630EF9" w14:textId="77777777">
          <w:pPr>
            <w:spacing w:line="20" w:lineRule="exact"/>
          </w:pPr>
        </w:p>
      </w:tc>
    </w:tr>
  </w:tbl>
  <w:p w:rsidR="001F4AEE" w14:paraId="3192CD56" w14:textId="77777777">
    <w:pPr>
      <w:spacing w:line="45" w:lineRule="exact"/>
      <w:rPr>
        <w:sz w:val="5"/>
      </w:rPr>
    </w:pPr>
    <w:r>
      <w:t xml:space="preserve"> </w:t>
    </w:r>
  </w:p>
  <w:tbl>
    <w:tblPr>
      <w:tblW w:w="5000" w:type="pct"/>
      <w:tblLayout w:type="fixed"/>
      <w:tblLook w:val="04A0"/>
    </w:tblPr>
    <w:tblGrid>
      <w:gridCol w:w="6732"/>
      <w:gridCol w:w="1123"/>
      <w:gridCol w:w="1777"/>
    </w:tblGrid>
    <w:tr w14:paraId="4244AEC4"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67DC34E1"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05E59760" w14:textId="77777777"/>
      </w:tc>
      <w:tc>
        <w:tcPr>
          <w:tcW w:w="1900" w:type="dxa"/>
          <w:tcMar>
            <w:top w:w="0" w:type="dxa"/>
            <w:left w:w="0" w:type="dxa"/>
            <w:bottom w:w="0" w:type="dxa"/>
            <w:right w:w="0" w:type="dxa"/>
          </w:tcMar>
        </w:tcPr>
        <w:p w:rsidR="001F4AEE" w14:paraId="53ECE61C"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21</w:t>
          </w:r>
          <w:r>
            <w:rPr>
              <w:lang w:val="fr-FR"/>
            </w:rPr>
            <w:fldChar w:fldCharType="end"/>
          </w:r>
        </w:p>
      </w:tc>
    </w:tr>
  </w:tbl>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5FA922DD"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98DD85A"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76AB6D52" w14:textId="77777777">
          <w:pPr>
            <w:spacing w:line="20" w:lineRule="exact"/>
          </w:pPr>
        </w:p>
      </w:tc>
    </w:tr>
  </w:tbl>
  <w:p w:rsidR="001F4AEE" w14:paraId="41B1CE62" w14:textId="77777777">
    <w:pPr>
      <w:spacing w:line="45" w:lineRule="exact"/>
      <w:rPr>
        <w:sz w:val="5"/>
      </w:rPr>
    </w:pPr>
    <w:r>
      <w:t xml:space="preserve"> </w:t>
    </w:r>
  </w:p>
  <w:tbl>
    <w:tblPr>
      <w:tblW w:w="5000" w:type="pct"/>
      <w:tblLayout w:type="fixed"/>
      <w:tblLook w:val="04A0"/>
    </w:tblPr>
    <w:tblGrid>
      <w:gridCol w:w="6732"/>
      <w:gridCol w:w="1123"/>
      <w:gridCol w:w="1777"/>
    </w:tblGrid>
    <w:tr w14:paraId="2CF55CCF"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5D476FB3"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189507A9" w14:textId="77777777"/>
      </w:tc>
      <w:tc>
        <w:tcPr>
          <w:tcW w:w="1900" w:type="dxa"/>
          <w:tcMar>
            <w:top w:w="0" w:type="dxa"/>
            <w:left w:w="0" w:type="dxa"/>
            <w:bottom w:w="0" w:type="dxa"/>
            <w:right w:w="0" w:type="dxa"/>
          </w:tcMar>
        </w:tcPr>
        <w:p w:rsidR="001F4AEE" w14:paraId="2853ABDF"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22</w:t>
          </w:r>
          <w:r>
            <w:rPr>
              <w:lang w:val="fr-FR"/>
            </w:rPr>
            <w:fldChar w:fldCharType="end"/>
          </w:r>
        </w:p>
      </w:tc>
    </w:tr>
  </w:tbl>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547CEC9E"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B202585"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578E5A04" w14:textId="77777777">
          <w:pPr>
            <w:spacing w:line="20" w:lineRule="exact"/>
          </w:pPr>
        </w:p>
      </w:tc>
    </w:tr>
  </w:tbl>
  <w:p w:rsidR="001F4AEE" w14:paraId="6B4C1F87" w14:textId="77777777">
    <w:pPr>
      <w:spacing w:line="45" w:lineRule="exact"/>
      <w:rPr>
        <w:sz w:val="5"/>
      </w:rPr>
    </w:pPr>
    <w:r>
      <w:t xml:space="preserve"> </w:t>
    </w:r>
  </w:p>
  <w:tbl>
    <w:tblPr>
      <w:tblW w:w="5000" w:type="pct"/>
      <w:tblLayout w:type="fixed"/>
      <w:tblLook w:val="04A0"/>
    </w:tblPr>
    <w:tblGrid>
      <w:gridCol w:w="6732"/>
      <w:gridCol w:w="1123"/>
      <w:gridCol w:w="1777"/>
    </w:tblGrid>
    <w:tr w14:paraId="02AE5850"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6262716E"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75A67EAC" w14:textId="77777777"/>
      </w:tc>
      <w:tc>
        <w:tcPr>
          <w:tcW w:w="1900" w:type="dxa"/>
          <w:tcMar>
            <w:top w:w="0" w:type="dxa"/>
            <w:left w:w="0" w:type="dxa"/>
            <w:bottom w:w="0" w:type="dxa"/>
            <w:right w:w="0" w:type="dxa"/>
          </w:tcMar>
        </w:tcPr>
        <w:p w:rsidR="001F4AEE" w14:paraId="0F56740A"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23</w:t>
          </w:r>
          <w:r>
            <w:rPr>
              <w:lang w:val="fr-FR"/>
            </w:rPr>
            <w:fldChar w:fldCharType="end"/>
          </w:r>
        </w:p>
      </w:tc>
    </w:tr>
  </w:tbl>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769854DC"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CFEEBB4"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4CFC7AC6" w14:textId="77777777">
          <w:pPr>
            <w:spacing w:line="20" w:lineRule="exact"/>
          </w:pPr>
        </w:p>
      </w:tc>
    </w:tr>
  </w:tbl>
  <w:p w:rsidR="001F4AEE" w14:paraId="2AA50FD7" w14:textId="77777777">
    <w:pPr>
      <w:spacing w:line="45" w:lineRule="exact"/>
      <w:rPr>
        <w:sz w:val="5"/>
      </w:rPr>
    </w:pPr>
    <w:r>
      <w:t xml:space="preserve"> </w:t>
    </w:r>
  </w:p>
  <w:tbl>
    <w:tblPr>
      <w:tblW w:w="5000" w:type="pct"/>
      <w:tblLayout w:type="fixed"/>
      <w:tblLook w:val="04A0"/>
    </w:tblPr>
    <w:tblGrid>
      <w:gridCol w:w="6732"/>
      <w:gridCol w:w="1123"/>
      <w:gridCol w:w="1777"/>
    </w:tblGrid>
    <w:tr w14:paraId="72E5E77E"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195D6E78"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3063B063" w14:textId="77777777"/>
      </w:tc>
      <w:tc>
        <w:tcPr>
          <w:tcW w:w="1900" w:type="dxa"/>
          <w:tcMar>
            <w:top w:w="0" w:type="dxa"/>
            <w:left w:w="0" w:type="dxa"/>
            <w:bottom w:w="0" w:type="dxa"/>
            <w:right w:w="0" w:type="dxa"/>
          </w:tcMar>
        </w:tcPr>
        <w:p w:rsidR="001F4AEE" w14:paraId="7B7281AE"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24</w:t>
          </w:r>
          <w:r>
            <w:rPr>
              <w:lang w:val="fr-FR"/>
            </w:rPr>
            <w:fldChar w:fldCharType="end"/>
          </w:r>
        </w:p>
      </w:tc>
    </w:tr>
  </w:tbl>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34E1DF3C"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90D6478"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583DE1D4" w14:textId="77777777">
          <w:pPr>
            <w:spacing w:line="20" w:lineRule="exact"/>
          </w:pPr>
        </w:p>
      </w:tc>
    </w:tr>
  </w:tbl>
  <w:p w:rsidR="001F4AEE" w14:paraId="71D4435B" w14:textId="77777777">
    <w:pPr>
      <w:spacing w:line="45" w:lineRule="exact"/>
      <w:rPr>
        <w:sz w:val="5"/>
      </w:rPr>
    </w:pPr>
    <w:r>
      <w:t xml:space="preserve"> </w:t>
    </w:r>
  </w:p>
  <w:tbl>
    <w:tblPr>
      <w:tblW w:w="5000" w:type="pct"/>
      <w:tblLayout w:type="fixed"/>
      <w:tblLook w:val="04A0"/>
    </w:tblPr>
    <w:tblGrid>
      <w:gridCol w:w="6732"/>
      <w:gridCol w:w="1123"/>
      <w:gridCol w:w="1777"/>
    </w:tblGrid>
    <w:tr w14:paraId="2DFBC0F0"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7728EC3F"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77FC2631" w14:textId="77777777"/>
      </w:tc>
      <w:tc>
        <w:tcPr>
          <w:tcW w:w="1900" w:type="dxa"/>
          <w:tcMar>
            <w:top w:w="0" w:type="dxa"/>
            <w:left w:w="0" w:type="dxa"/>
            <w:bottom w:w="0" w:type="dxa"/>
            <w:right w:w="0" w:type="dxa"/>
          </w:tcMar>
        </w:tcPr>
        <w:p w:rsidR="001F4AEE" w14:paraId="1F522901"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25</w:t>
          </w:r>
          <w:r>
            <w:rPr>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Borders>
        <w:top w:val="dashSmallGap" w:sz="6" w:space="0" w:color="808080"/>
      </w:tblBorders>
      <w:tblLayout w:type="fixed"/>
      <w:tblLook w:val="04A0"/>
    </w:tblPr>
    <w:tblGrid>
      <w:gridCol w:w="9632"/>
    </w:tblGrid>
    <w:tr w14:paraId="3F5BBD47"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2BC1A821" w14:textId="77777777">
          <w:pPr>
            <w:spacing w:line="20" w:lineRule="exact"/>
          </w:pPr>
        </w:p>
      </w:tc>
    </w:tr>
  </w:tbl>
  <w:p w:rsidR="001F4AEE" w14:paraId="3D79101E" w14:textId="77777777">
    <w:pPr>
      <w:spacing w:line="45" w:lineRule="exact"/>
      <w:rPr>
        <w:sz w:val="5"/>
      </w:rPr>
    </w:pPr>
    <w:r>
      <w:t xml:space="preserve"> </w:t>
    </w:r>
  </w:p>
  <w:tbl>
    <w:tblPr>
      <w:tblW w:w="5000" w:type="pct"/>
      <w:tblLayout w:type="fixed"/>
      <w:tblLook w:val="04A0"/>
    </w:tblPr>
    <w:tblGrid>
      <w:gridCol w:w="6732"/>
      <w:gridCol w:w="1123"/>
      <w:gridCol w:w="1777"/>
    </w:tblGrid>
    <w:tr w14:paraId="5DE160AC"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686C1D6C"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16B19FDD" w14:textId="77777777"/>
      </w:tc>
      <w:tc>
        <w:tcPr>
          <w:tcW w:w="1900" w:type="dxa"/>
          <w:tcMar>
            <w:top w:w="0" w:type="dxa"/>
            <w:left w:w="0" w:type="dxa"/>
            <w:bottom w:w="0" w:type="dxa"/>
            <w:right w:w="0" w:type="dxa"/>
          </w:tcMar>
        </w:tcPr>
        <w:p w:rsidR="001F4AEE" w14:paraId="374E9CC7"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7</w:t>
          </w:r>
          <w:r>
            <w:rPr>
              <w:lang w:val="fr-FR"/>
            </w:rPr>
            <w:fldChar w:fldCharType="end"/>
          </w:r>
        </w:p>
      </w:tc>
    </w:tr>
  </w:tbl>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07E2D76F"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FB217E3"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246F5F92" w14:textId="77777777">
          <w:pPr>
            <w:spacing w:line="20" w:lineRule="exact"/>
          </w:pPr>
        </w:p>
      </w:tc>
    </w:tr>
  </w:tbl>
  <w:p w:rsidR="001F4AEE" w14:paraId="4E4B53FA" w14:textId="77777777">
    <w:pPr>
      <w:spacing w:line="45" w:lineRule="exact"/>
      <w:rPr>
        <w:sz w:val="5"/>
      </w:rPr>
    </w:pPr>
    <w:r>
      <w:t xml:space="preserve"> </w:t>
    </w:r>
  </w:p>
  <w:tbl>
    <w:tblPr>
      <w:tblW w:w="5000" w:type="pct"/>
      <w:tblLayout w:type="fixed"/>
      <w:tblLook w:val="04A0"/>
    </w:tblPr>
    <w:tblGrid>
      <w:gridCol w:w="6732"/>
      <w:gridCol w:w="1123"/>
      <w:gridCol w:w="1777"/>
    </w:tblGrid>
    <w:tr w14:paraId="2837F8BE"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3AE188F8"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79506230" w14:textId="77777777"/>
      </w:tc>
      <w:tc>
        <w:tcPr>
          <w:tcW w:w="1900" w:type="dxa"/>
          <w:tcMar>
            <w:top w:w="0" w:type="dxa"/>
            <w:left w:w="0" w:type="dxa"/>
            <w:bottom w:w="0" w:type="dxa"/>
            <w:right w:w="0" w:type="dxa"/>
          </w:tcMar>
        </w:tcPr>
        <w:p w:rsidR="001F4AEE" w14:paraId="1BD3D250"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26</w:t>
          </w:r>
          <w:r>
            <w:rPr>
              <w:lang w:val="fr-FR"/>
            </w:rPr>
            <w:fldChar w:fldCharType="end"/>
          </w:r>
        </w:p>
      </w:tc>
    </w:tr>
  </w:tbl>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3F61F902"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42601A92"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2C9A9C04" w14:textId="77777777">
          <w:pPr>
            <w:spacing w:line="20" w:lineRule="exact"/>
          </w:pPr>
        </w:p>
      </w:tc>
    </w:tr>
  </w:tbl>
  <w:p w:rsidR="001F4AEE" w14:paraId="7BE83A10" w14:textId="77777777">
    <w:pPr>
      <w:spacing w:line="45" w:lineRule="exact"/>
      <w:rPr>
        <w:sz w:val="5"/>
      </w:rPr>
    </w:pPr>
    <w:r>
      <w:t xml:space="preserve"> </w:t>
    </w:r>
  </w:p>
  <w:tbl>
    <w:tblPr>
      <w:tblW w:w="5000" w:type="pct"/>
      <w:tblLayout w:type="fixed"/>
      <w:tblLook w:val="04A0"/>
    </w:tblPr>
    <w:tblGrid>
      <w:gridCol w:w="6732"/>
      <w:gridCol w:w="1123"/>
      <w:gridCol w:w="1777"/>
    </w:tblGrid>
    <w:tr w14:paraId="42B05E1D"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17086EA7"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3989B371" w14:textId="77777777"/>
      </w:tc>
      <w:tc>
        <w:tcPr>
          <w:tcW w:w="1900" w:type="dxa"/>
          <w:tcMar>
            <w:top w:w="0" w:type="dxa"/>
            <w:left w:w="0" w:type="dxa"/>
            <w:bottom w:w="0" w:type="dxa"/>
            <w:right w:w="0" w:type="dxa"/>
          </w:tcMar>
        </w:tcPr>
        <w:p w:rsidR="001F4AEE" w14:paraId="72B5C76C"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27</w:t>
          </w:r>
          <w:r>
            <w:rPr>
              <w:lang w:val="fr-FR"/>
            </w:rPr>
            <w:fldChar w:fldCharType="end"/>
          </w:r>
        </w:p>
      </w:tc>
    </w:tr>
  </w:tbl>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7FDC13B8"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AA66224"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38ED8224" w14:textId="77777777">
          <w:pPr>
            <w:spacing w:line="20" w:lineRule="exact"/>
          </w:pPr>
        </w:p>
      </w:tc>
    </w:tr>
  </w:tbl>
  <w:p w:rsidR="001F4AEE" w14:paraId="2C0FC85C" w14:textId="77777777">
    <w:pPr>
      <w:spacing w:line="45" w:lineRule="exact"/>
      <w:rPr>
        <w:sz w:val="5"/>
      </w:rPr>
    </w:pPr>
    <w:r>
      <w:t xml:space="preserve"> </w:t>
    </w:r>
  </w:p>
  <w:tbl>
    <w:tblPr>
      <w:tblW w:w="5000" w:type="pct"/>
      <w:tblLayout w:type="fixed"/>
      <w:tblLook w:val="04A0"/>
    </w:tblPr>
    <w:tblGrid>
      <w:gridCol w:w="6732"/>
      <w:gridCol w:w="1123"/>
      <w:gridCol w:w="1777"/>
    </w:tblGrid>
    <w:tr w14:paraId="5B910701"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74863D9F"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5CF6F28C" w14:textId="77777777"/>
      </w:tc>
      <w:tc>
        <w:tcPr>
          <w:tcW w:w="1900" w:type="dxa"/>
          <w:tcMar>
            <w:top w:w="0" w:type="dxa"/>
            <w:left w:w="0" w:type="dxa"/>
            <w:bottom w:w="0" w:type="dxa"/>
            <w:right w:w="0" w:type="dxa"/>
          </w:tcMar>
        </w:tcPr>
        <w:p w:rsidR="001F4AEE" w14:paraId="08C3D362"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28</w:t>
          </w:r>
          <w:r>
            <w:rPr>
              <w:lang w:val="fr-FR"/>
            </w:rPr>
            <w:fldChar w:fldCharType="end"/>
          </w:r>
        </w:p>
      </w:tc>
    </w:tr>
  </w:tbl>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7B40425A"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576F7B33"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6B3E7DDD" w14:textId="77777777">
          <w:pPr>
            <w:spacing w:line="20" w:lineRule="exact"/>
          </w:pPr>
        </w:p>
      </w:tc>
    </w:tr>
  </w:tbl>
  <w:p w:rsidR="001F4AEE" w14:paraId="6AD62D5D" w14:textId="77777777">
    <w:pPr>
      <w:spacing w:line="45" w:lineRule="exact"/>
      <w:rPr>
        <w:sz w:val="5"/>
      </w:rPr>
    </w:pPr>
    <w:r>
      <w:t xml:space="preserve"> </w:t>
    </w:r>
  </w:p>
  <w:tbl>
    <w:tblPr>
      <w:tblW w:w="5000" w:type="pct"/>
      <w:tblLayout w:type="fixed"/>
      <w:tblLook w:val="04A0"/>
    </w:tblPr>
    <w:tblGrid>
      <w:gridCol w:w="6732"/>
      <w:gridCol w:w="1123"/>
      <w:gridCol w:w="1777"/>
    </w:tblGrid>
    <w:tr w14:paraId="0CBCFE3A"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359740D2"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069E91D5" w14:textId="77777777"/>
      </w:tc>
      <w:tc>
        <w:tcPr>
          <w:tcW w:w="1900" w:type="dxa"/>
          <w:tcMar>
            <w:top w:w="0" w:type="dxa"/>
            <w:left w:w="0" w:type="dxa"/>
            <w:bottom w:w="0" w:type="dxa"/>
            <w:right w:w="0" w:type="dxa"/>
          </w:tcMar>
        </w:tcPr>
        <w:p w:rsidR="001F4AEE" w14:paraId="0C4D4E2E"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29</w:t>
          </w:r>
          <w:r>
            <w:rPr>
              <w:lang w:val="fr-FR"/>
            </w:rPr>
            <w:fldChar w:fldCharType="end"/>
          </w:r>
        </w:p>
      </w:tc>
    </w:tr>
  </w:tbl>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014BA56D"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3D806D0F"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4E160310" w14:textId="77777777">
          <w:pPr>
            <w:spacing w:line="20" w:lineRule="exact"/>
          </w:pPr>
        </w:p>
      </w:tc>
    </w:tr>
  </w:tbl>
  <w:p w:rsidR="001F4AEE" w14:paraId="02E49B24" w14:textId="77777777">
    <w:pPr>
      <w:spacing w:line="45" w:lineRule="exact"/>
      <w:rPr>
        <w:sz w:val="5"/>
      </w:rPr>
    </w:pPr>
    <w:r>
      <w:t xml:space="preserve"> </w:t>
    </w:r>
  </w:p>
  <w:tbl>
    <w:tblPr>
      <w:tblW w:w="5000" w:type="pct"/>
      <w:tblLayout w:type="fixed"/>
      <w:tblLook w:val="04A0"/>
    </w:tblPr>
    <w:tblGrid>
      <w:gridCol w:w="6732"/>
      <w:gridCol w:w="1123"/>
      <w:gridCol w:w="1777"/>
    </w:tblGrid>
    <w:tr w14:paraId="62542663"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17205A85"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4F3D5AC3" w14:textId="77777777"/>
      </w:tc>
      <w:tc>
        <w:tcPr>
          <w:tcW w:w="1900" w:type="dxa"/>
          <w:tcMar>
            <w:top w:w="0" w:type="dxa"/>
            <w:left w:w="0" w:type="dxa"/>
            <w:bottom w:w="0" w:type="dxa"/>
            <w:right w:w="0" w:type="dxa"/>
          </w:tcMar>
        </w:tcPr>
        <w:p w:rsidR="001F4AEE" w14:paraId="7FCFCF64"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30</w:t>
          </w:r>
          <w:r>
            <w:rPr>
              <w:lang w:val="fr-FR"/>
            </w:rPr>
            <w:fldChar w:fldCharType="end"/>
          </w:r>
        </w:p>
      </w:tc>
    </w:tr>
  </w:tbl>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1488CAD9"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3AC36E2"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5EDA9C54" w14:textId="77777777">
          <w:pPr>
            <w:spacing w:line="20" w:lineRule="exact"/>
          </w:pPr>
        </w:p>
      </w:tc>
    </w:tr>
  </w:tbl>
  <w:p w:rsidR="001F4AEE" w14:paraId="00C232F4" w14:textId="77777777">
    <w:pPr>
      <w:spacing w:line="45" w:lineRule="exact"/>
      <w:rPr>
        <w:sz w:val="5"/>
      </w:rPr>
    </w:pPr>
    <w:r>
      <w:t xml:space="preserve"> </w:t>
    </w:r>
  </w:p>
  <w:tbl>
    <w:tblPr>
      <w:tblW w:w="5000" w:type="pct"/>
      <w:tblLayout w:type="fixed"/>
      <w:tblLook w:val="04A0"/>
    </w:tblPr>
    <w:tblGrid>
      <w:gridCol w:w="6732"/>
      <w:gridCol w:w="1123"/>
      <w:gridCol w:w="1777"/>
    </w:tblGrid>
    <w:tr w14:paraId="2880CA48"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35296C9E"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1138C929" w14:textId="77777777"/>
      </w:tc>
      <w:tc>
        <w:tcPr>
          <w:tcW w:w="1900" w:type="dxa"/>
          <w:tcMar>
            <w:top w:w="0" w:type="dxa"/>
            <w:left w:w="0" w:type="dxa"/>
            <w:bottom w:w="0" w:type="dxa"/>
            <w:right w:w="0" w:type="dxa"/>
          </w:tcMar>
        </w:tcPr>
        <w:p w:rsidR="001F4AEE" w14:paraId="4A89EE1E"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31</w:t>
          </w:r>
          <w:r>
            <w:rPr>
              <w:lang w:val="fr-FR"/>
            </w:rPr>
            <w:fldChar w:fldCharType="end"/>
          </w:r>
        </w:p>
      </w:tc>
    </w:tr>
  </w:tbl>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0D159741"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26BF3C47"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10584E44" w14:textId="77777777">
          <w:pPr>
            <w:spacing w:line="20" w:lineRule="exact"/>
          </w:pPr>
        </w:p>
      </w:tc>
    </w:tr>
  </w:tbl>
  <w:p w:rsidR="001F4AEE" w14:paraId="117844C4" w14:textId="77777777">
    <w:pPr>
      <w:spacing w:line="45" w:lineRule="exact"/>
      <w:rPr>
        <w:sz w:val="5"/>
      </w:rPr>
    </w:pPr>
    <w:r>
      <w:t xml:space="preserve"> </w:t>
    </w:r>
  </w:p>
  <w:tbl>
    <w:tblPr>
      <w:tblW w:w="5000" w:type="pct"/>
      <w:tblLayout w:type="fixed"/>
      <w:tblLook w:val="04A0"/>
    </w:tblPr>
    <w:tblGrid>
      <w:gridCol w:w="6732"/>
      <w:gridCol w:w="1123"/>
      <w:gridCol w:w="1777"/>
    </w:tblGrid>
    <w:tr w14:paraId="4F91EB0C"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4DF2C5EE"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75A0142C" w14:textId="77777777"/>
      </w:tc>
      <w:tc>
        <w:tcPr>
          <w:tcW w:w="1900" w:type="dxa"/>
          <w:tcMar>
            <w:top w:w="0" w:type="dxa"/>
            <w:left w:w="0" w:type="dxa"/>
            <w:bottom w:w="0" w:type="dxa"/>
            <w:right w:w="0" w:type="dxa"/>
          </w:tcMar>
        </w:tcPr>
        <w:p w:rsidR="001F4AEE" w14:paraId="1932DE96"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32</w:t>
          </w:r>
          <w:r>
            <w:rPr>
              <w:lang w:val="fr-FR"/>
            </w:rPr>
            <w:fldChar w:fldCharType="end"/>
          </w:r>
        </w:p>
      </w:tc>
    </w:tr>
  </w:tbl>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449FD0C8"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6431E4CE"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42196B30" w14:textId="77777777">
          <w:pPr>
            <w:spacing w:line="20" w:lineRule="exact"/>
          </w:pPr>
        </w:p>
      </w:tc>
    </w:tr>
  </w:tbl>
  <w:p w:rsidR="001F4AEE" w14:paraId="6923A0E7" w14:textId="77777777">
    <w:pPr>
      <w:spacing w:line="45" w:lineRule="exact"/>
      <w:rPr>
        <w:sz w:val="5"/>
      </w:rPr>
    </w:pPr>
    <w:r>
      <w:t xml:space="preserve"> </w:t>
    </w:r>
  </w:p>
  <w:tbl>
    <w:tblPr>
      <w:tblW w:w="5000" w:type="pct"/>
      <w:tblLayout w:type="fixed"/>
      <w:tblLook w:val="04A0"/>
    </w:tblPr>
    <w:tblGrid>
      <w:gridCol w:w="6732"/>
      <w:gridCol w:w="1123"/>
      <w:gridCol w:w="1777"/>
    </w:tblGrid>
    <w:tr w14:paraId="65B6E890"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16E0B79B"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45F0682F" w14:textId="77777777"/>
      </w:tc>
      <w:tc>
        <w:tcPr>
          <w:tcW w:w="1900" w:type="dxa"/>
          <w:tcMar>
            <w:top w:w="0" w:type="dxa"/>
            <w:left w:w="0" w:type="dxa"/>
            <w:bottom w:w="0" w:type="dxa"/>
            <w:right w:w="0" w:type="dxa"/>
          </w:tcMar>
        </w:tcPr>
        <w:p w:rsidR="001F4AEE" w14:paraId="32D9B9BA"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33</w:t>
          </w:r>
          <w:r>
            <w:rPr>
              <w:lang w:val="fr-FR"/>
            </w:rPr>
            <w:fldChar w:fldCharType="end"/>
          </w:r>
        </w:p>
      </w:tc>
    </w:tr>
  </w:tbl>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04016583"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4C3D7304"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44A01474" w14:textId="77777777">
          <w:pPr>
            <w:spacing w:line="20" w:lineRule="exact"/>
          </w:pPr>
        </w:p>
      </w:tc>
    </w:tr>
  </w:tbl>
  <w:p w:rsidR="001F4AEE" w14:paraId="6C72483A" w14:textId="77777777">
    <w:pPr>
      <w:spacing w:line="45" w:lineRule="exact"/>
      <w:rPr>
        <w:sz w:val="5"/>
      </w:rPr>
    </w:pPr>
    <w:r>
      <w:t xml:space="preserve"> </w:t>
    </w:r>
  </w:p>
  <w:tbl>
    <w:tblPr>
      <w:tblW w:w="5000" w:type="pct"/>
      <w:tblLayout w:type="fixed"/>
      <w:tblLook w:val="04A0"/>
    </w:tblPr>
    <w:tblGrid>
      <w:gridCol w:w="6732"/>
      <w:gridCol w:w="1123"/>
      <w:gridCol w:w="1777"/>
    </w:tblGrid>
    <w:tr w14:paraId="66C96D6E"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7749C8DC"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64ABA06C" w14:textId="77777777"/>
      </w:tc>
      <w:tc>
        <w:tcPr>
          <w:tcW w:w="1900" w:type="dxa"/>
          <w:tcMar>
            <w:top w:w="0" w:type="dxa"/>
            <w:left w:w="0" w:type="dxa"/>
            <w:bottom w:w="0" w:type="dxa"/>
            <w:right w:w="0" w:type="dxa"/>
          </w:tcMar>
        </w:tcPr>
        <w:p w:rsidR="001F4AEE" w14:paraId="27363CDB"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34</w:t>
          </w:r>
          <w:r>
            <w:rPr>
              <w:lang w:val="fr-FR"/>
            </w:rPr>
            <w:fldChar w:fldCharType="end"/>
          </w:r>
        </w:p>
      </w:tc>
    </w:tr>
  </w:tbl>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69C1A3E0"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7E2A9BFF"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44B8BCAA" w14:textId="77777777">
          <w:pPr>
            <w:spacing w:line="20" w:lineRule="exact"/>
          </w:pPr>
        </w:p>
      </w:tc>
    </w:tr>
  </w:tbl>
  <w:p w:rsidR="001F4AEE" w14:paraId="43AF8876" w14:textId="77777777">
    <w:pPr>
      <w:spacing w:line="45" w:lineRule="exact"/>
      <w:rPr>
        <w:sz w:val="5"/>
      </w:rPr>
    </w:pPr>
    <w:r>
      <w:t xml:space="preserve"> </w:t>
    </w:r>
  </w:p>
  <w:tbl>
    <w:tblPr>
      <w:tblW w:w="5000" w:type="pct"/>
      <w:tblLayout w:type="fixed"/>
      <w:tblLook w:val="04A0"/>
    </w:tblPr>
    <w:tblGrid>
      <w:gridCol w:w="6732"/>
      <w:gridCol w:w="1123"/>
      <w:gridCol w:w="1777"/>
    </w:tblGrid>
    <w:tr w14:paraId="3E70268C"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4012F667"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32839799" w14:textId="77777777"/>
      </w:tc>
      <w:tc>
        <w:tcPr>
          <w:tcW w:w="1900" w:type="dxa"/>
          <w:tcMar>
            <w:top w:w="0" w:type="dxa"/>
            <w:left w:w="0" w:type="dxa"/>
            <w:bottom w:w="0" w:type="dxa"/>
            <w:right w:w="0" w:type="dxa"/>
          </w:tcMar>
        </w:tcPr>
        <w:p w:rsidR="001F4AEE" w14:paraId="7D5B9BAD"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35</w:t>
          </w:r>
          <w:r>
            <w:rPr>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1B2BB976"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1C22D66F"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77769AF0" w14:textId="77777777">
          <w:pPr>
            <w:spacing w:line="20" w:lineRule="exact"/>
          </w:pPr>
        </w:p>
      </w:tc>
    </w:tr>
  </w:tbl>
  <w:p w:rsidR="001F4AEE" w14:paraId="7F8933DE" w14:textId="77777777">
    <w:pPr>
      <w:spacing w:line="45" w:lineRule="exact"/>
      <w:rPr>
        <w:sz w:val="5"/>
      </w:rPr>
    </w:pPr>
    <w:r>
      <w:t xml:space="preserve"> </w:t>
    </w:r>
  </w:p>
  <w:tbl>
    <w:tblPr>
      <w:tblW w:w="5000" w:type="pct"/>
      <w:tblLayout w:type="fixed"/>
      <w:tblLook w:val="04A0"/>
    </w:tblPr>
    <w:tblGrid>
      <w:gridCol w:w="6732"/>
      <w:gridCol w:w="1123"/>
      <w:gridCol w:w="1777"/>
    </w:tblGrid>
    <w:tr w14:paraId="6FC9D9C5"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4D97B9CB"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50BF7B2F" w14:textId="77777777"/>
      </w:tc>
      <w:tc>
        <w:tcPr>
          <w:tcW w:w="1900" w:type="dxa"/>
          <w:tcMar>
            <w:top w:w="0" w:type="dxa"/>
            <w:left w:w="0" w:type="dxa"/>
            <w:bottom w:w="0" w:type="dxa"/>
            <w:right w:w="0" w:type="dxa"/>
          </w:tcMar>
        </w:tcPr>
        <w:p w:rsidR="001F4AEE" w14:paraId="5CE59D21"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9</w:t>
          </w:r>
          <w:r>
            <w:rPr>
              <w:lang w:val="fr-FR"/>
            </w:rPr>
            <w:fldChar w:fldCharType="end"/>
          </w:r>
        </w:p>
      </w:tc>
    </w:tr>
  </w:tbl>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671AEAAC"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1DDBEF48"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0EA9A998" w14:textId="77777777">
          <w:pPr>
            <w:spacing w:line="20" w:lineRule="exact"/>
          </w:pPr>
        </w:p>
      </w:tc>
    </w:tr>
  </w:tbl>
  <w:p w:rsidR="001F4AEE" w14:paraId="19776670" w14:textId="77777777">
    <w:pPr>
      <w:spacing w:line="45" w:lineRule="exact"/>
      <w:rPr>
        <w:sz w:val="5"/>
      </w:rPr>
    </w:pPr>
    <w:r>
      <w:t xml:space="preserve"> </w:t>
    </w:r>
  </w:p>
  <w:tbl>
    <w:tblPr>
      <w:tblW w:w="5000" w:type="pct"/>
      <w:tblLayout w:type="fixed"/>
      <w:tblLook w:val="04A0"/>
    </w:tblPr>
    <w:tblGrid>
      <w:gridCol w:w="6732"/>
      <w:gridCol w:w="1123"/>
      <w:gridCol w:w="1777"/>
    </w:tblGrid>
    <w:tr w14:paraId="0A432156"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14A1A2E4"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17F2D441" w14:textId="77777777"/>
      </w:tc>
      <w:tc>
        <w:tcPr>
          <w:tcW w:w="1900" w:type="dxa"/>
          <w:tcMar>
            <w:top w:w="0" w:type="dxa"/>
            <w:left w:w="0" w:type="dxa"/>
            <w:bottom w:w="0" w:type="dxa"/>
            <w:right w:w="0" w:type="dxa"/>
          </w:tcMar>
        </w:tcPr>
        <w:p w:rsidR="001F4AEE" w14:paraId="59C589C5"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36</w:t>
          </w:r>
          <w:r>
            <w:rPr>
              <w:lang w:val="fr-FR"/>
            </w:rPr>
            <w:fldChar w:fldCharType="end"/>
          </w: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3A9331FE"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437DA009"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3BF1BA1C" w14:textId="77777777">
          <w:pPr>
            <w:spacing w:line="20" w:lineRule="exact"/>
          </w:pPr>
        </w:p>
      </w:tc>
    </w:tr>
  </w:tbl>
  <w:p w:rsidR="001F4AEE" w14:paraId="45714745" w14:textId="77777777">
    <w:pPr>
      <w:spacing w:line="45" w:lineRule="exact"/>
      <w:rPr>
        <w:sz w:val="5"/>
      </w:rPr>
    </w:pPr>
    <w:r>
      <w:t xml:space="preserve"> </w:t>
    </w:r>
  </w:p>
  <w:tbl>
    <w:tblPr>
      <w:tblW w:w="5000" w:type="pct"/>
      <w:tblLayout w:type="fixed"/>
      <w:tblLook w:val="04A0"/>
    </w:tblPr>
    <w:tblGrid>
      <w:gridCol w:w="6732"/>
      <w:gridCol w:w="1123"/>
      <w:gridCol w:w="1777"/>
    </w:tblGrid>
    <w:tr w14:paraId="64848041"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25C7FF47"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04991F23" w14:textId="77777777"/>
      </w:tc>
      <w:tc>
        <w:tcPr>
          <w:tcW w:w="1900" w:type="dxa"/>
          <w:tcMar>
            <w:top w:w="0" w:type="dxa"/>
            <w:left w:w="0" w:type="dxa"/>
            <w:bottom w:w="0" w:type="dxa"/>
            <w:right w:w="0" w:type="dxa"/>
          </w:tcMar>
        </w:tcPr>
        <w:p w:rsidR="001F4AEE" w14:paraId="014C3B1D"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37</w:t>
          </w:r>
          <w:r>
            <w:rPr>
              <w:lang w:val="fr-FR"/>
            </w:rPr>
            <w:fldChar w:fldCharType="end"/>
          </w:r>
        </w:p>
      </w:tc>
    </w:tr>
  </w:tbl>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59F44541"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42AB76F4"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0B11BDCF" w14:textId="77777777">
          <w:pPr>
            <w:spacing w:line="20" w:lineRule="exact"/>
          </w:pPr>
        </w:p>
      </w:tc>
    </w:tr>
  </w:tbl>
  <w:p w:rsidR="001F4AEE" w14:paraId="46FF56CA" w14:textId="77777777">
    <w:pPr>
      <w:spacing w:line="45" w:lineRule="exact"/>
      <w:rPr>
        <w:sz w:val="5"/>
      </w:rPr>
    </w:pPr>
    <w:r>
      <w:t xml:space="preserve"> </w:t>
    </w:r>
  </w:p>
  <w:tbl>
    <w:tblPr>
      <w:tblW w:w="5000" w:type="pct"/>
      <w:tblLayout w:type="fixed"/>
      <w:tblLook w:val="04A0"/>
    </w:tblPr>
    <w:tblGrid>
      <w:gridCol w:w="6732"/>
      <w:gridCol w:w="1123"/>
      <w:gridCol w:w="1777"/>
    </w:tblGrid>
    <w:tr w14:paraId="13C8A799"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4CB16FA7"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4E154590" w14:textId="77777777"/>
      </w:tc>
      <w:tc>
        <w:tcPr>
          <w:tcW w:w="1900" w:type="dxa"/>
          <w:tcMar>
            <w:top w:w="0" w:type="dxa"/>
            <w:left w:w="0" w:type="dxa"/>
            <w:bottom w:w="0" w:type="dxa"/>
            <w:right w:w="0" w:type="dxa"/>
          </w:tcMar>
        </w:tcPr>
        <w:p w:rsidR="001F4AEE" w14:paraId="211A94BC"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38</w:t>
          </w:r>
          <w:r>
            <w:rPr>
              <w:lang w:val="fr-FR"/>
            </w:rPr>
            <w:fldChar w:fldCharType="end"/>
          </w:r>
        </w:p>
      </w:tc>
    </w:tr>
  </w:tbl>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66BCF9E6" w14:textId="77777777"/>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78BD28E2" w14:textId="77777777">
    <w:pPr>
      <w:spacing w:line="0" w:lineRule="auto"/>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579F032B"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39FCACD6"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CCF4421"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2D7F6EED" w14:textId="77777777">
          <w:pPr>
            <w:spacing w:line="20" w:lineRule="exact"/>
          </w:pPr>
        </w:p>
      </w:tc>
    </w:tr>
  </w:tbl>
  <w:p w:rsidR="001F4AEE" w14:paraId="06756B27" w14:textId="77777777">
    <w:pPr>
      <w:spacing w:line="45" w:lineRule="exact"/>
      <w:rPr>
        <w:sz w:val="5"/>
      </w:rPr>
    </w:pPr>
    <w:r>
      <w:t xml:space="preserve"> </w:t>
    </w:r>
  </w:p>
  <w:tbl>
    <w:tblPr>
      <w:tblW w:w="5000" w:type="pct"/>
      <w:tblLayout w:type="fixed"/>
      <w:tblLook w:val="04A0"/>
    </w:tblPr>
    <w:tblGrid>
      <w:gridCol w:w="6732"/>
      <w:gridCol w:w="1123"/>
      <w:gridCol w:w="1777"/>
    </w:tblGrid>
    <w:tr w14:paraId="4BC7C4EF"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619C5D61"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46B74481" w14:textId="77777777"/>
      </w:tc>
      <w:tc>
        <w:tcPr>
          <w:tcW w:w="1900" w:type="dxa"/>
          <w:tcMar>
            <w:top w:w="0" w:type="dxa"/>
            <w:left w:w="0" w:type="dxa"/>
            <w:bottom w:w="0" w:type="dxa"/>
            <w:right w:w="0" w:type="dxa"/>
          </w:tcMar>
        </w:tcPr>
        <w:p w:rsidR="001F4AEE" w14:paraId="7FCBE2C6"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10</w:t>
          </w:r>
          <w:r>
            <w:rPr>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082AE339"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07DE2DC9"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705BABE4" w14:textId="77777777">
          <w:pPr>
            <w:spacing w:line="20" w:lineRule="exact"/>
          </w:pPr>
        </w:p>
      </w:tc>
    </w:tr>
  </w:tbl>
  <w:p w:rsidR="001F4AEE" w14:paraId="718F377B" w14:textId="77777777">
    <w:pPr>
      <w:spacing w:line="45" w:lineRule="exact"/>
      <w:rPr>
        <w:sz w:val="5"/>
      </w:rPr>
    </w:pPr>
    <w:r>
      <w:t xml:space="preserve"> </w:t>
    </w:r>
  </w:p>
  <w:tbl>
    <w:tblPr>
      <w:tblW w:w="5000" w:type="pct"/>
      <w:tblLayout w:type="fixed"/>
      <w:tblLook w:val="04A0"/>
    </w:tblPr>
    <w:tblGrid>
      <w:gridCol w:w="6732"/>
      <w:gridCol w:w="1123"/>
      <w:gridCol w:w="1777"/>
    </w:tblGrid>
    <w:tr w14:paraId="092A5935"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1E50641E"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0D1DA540" w14:textId="77777777"/>
      </w:tc>
      <w:tc>
        <w:tcPr>
          <w:tcW w:w="1900" w:type="dxa"/>
          <w:tcMar>
            <w:top w:w="0" w:type="dxa"/>
            <w:left w:w="0" w:type="dxa"/>
            <w:bottom w:w="0" w:type="dxa"/>
            <w:right w:w="0" w:type="dxa"/>
          </w:tcMar>
        </w:tcPr>
        <w:p w:rsidR="001F4AEE" w14:paraId="45592D44"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11</w:t>
          </w:r>
          <w:r>
            <w:rPr>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670E1F99"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412F056C"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23DF1B82" w14:textId="77777777">
          <w:pPr>
            <w:spacing w:line="20" w:lineRule="exact"/>
          </w:pPr>
        </w:p>
      </w:tc>
    </w:tr>
  </w:tbl>
  <w:p w:rsidR="001F4AEE" w14:paraId="43EFC6BE" w14:textId="77777777">
    <w:pPr>
      <w:spacing w:line="45" w:lineRule="exact"/>
      <w:rPr>
        <w:sz w:val="5"/>
      </w:rPr>
    </w:pPr>
    <w:r>
      <w:t xml:space="preserve"> </w:t>
    </w:r>
  </w:p>
  <w:tbl>
    <w:tblPr>
      <w:tblW w:w="5000" w:type="pct"/>
      <w:tblLayout w:type="fixed"/>
      <w:tblLook w:val="04A0"/>
    </w:tblPr>
    <w:tblGrid>
      <w:gridCol w:w="6732"/>
      <w:gridCol w:w="1123"/>
      <w:gridCol w:w="1777"/>
    </w:tblGrid>
    <w:tr w14:paraId="7DA9F001"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60A83DF0"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315D1500" w14:textId="77777777"/>
      </w:tc>
      <w:tc>
        <w:tcPr>
          <w:tcW w:w="1900" w:type="dxa"/>
          <w:tcMar>
            <w:top w:w="0" w:type="dxa"/>
            <w:left w:w="0" w:type="dxa"/>
            <w:bottom w:w="0" w:type="dxa"/>
            <w:right w:w="0" w:type="dxa"/>
          </w:tcMar>
        </w:tcPr>
        <w:p w:rsidR="001F4AEE" w14:paraId="5AFB81A8"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12</w:t>
          </w:r>
          <w:r>
            <w:rPr>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368A6F30"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433DF49C"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77D8623F" w14:textId="77777777">
          <w:pPr>
            <w:spacing w:line="20" w:lineRule="exact"/>
          </w:pPr>
        </w:p>
      </w:tc>
    </w:tr>
  </w:tbl>
  <w:p w:rsidR="001F4AEE" w14:paraId="3ADDE9E7" w14:textId="77777777">
    <w:pPr>
      <w:spacing w:line="45" w:lineRule="exact"/>
      <w:rPr>
        <w:sz w:val="5"/>
      </w:rPr>
    </w:pPr>
    <w:r>
      <w:t xml:space="preserve"> </w:t>
    </w:r>
  </w:p>
  <w:tbl>
    <w:tblPr>
      <w:tblW w:w="5000" w:type="pct"/>
      <w:tblLayout w:type="fixed"/>
      <w:tblLook w:val="04A0"/>
    </w:tblPr>
    <w:tblGrid>
      <w:gridCol w:w="6732"/>
      <w:gridCol w:w="1123"/>
      <w:gridCol w:w="1777"/>
    </w:tblGrid>
    <w:tr w14:paraId="3D606C9B"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6E63059A"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67DAD81C" w14:textId="77777777"/>
      </w:tc>
      <w:tc>
        <w:tcPr>
          <w:tcW w:w="1900" w:type="dxa"/>
          <w:tcMar>
            <w:top w:w="0" w:type="dxa"/>
            <w:left w:w="0" w:type="dxa"/>
            <w:bottom w:w="0" w:type="dxa"/>
            <w:right w:w="0" w:type="dxa"/>
          </w:tcMar>
        </w:tcPr>
        <w:p w:rsidR="001F4AEE" w14:paraId="51A18B0E"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13</w:t>
          </w:r>
          <w:r>
            <w:rPr>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0B08EB10"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4028B34F"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702E6D6C" w14:textId="77777777">
          <w:pPr>
            <w:spacing w:line="20" w:lineRule="exact"/>
          </w:pPr>
        </w:p>
      </w:tc>
    </w:tr>
  </w:tbl>
  <w:p w:rsidR="001F4AEE" w14:paraId="7473A6E7" w14:textId="77777777">
    <w:pPr>
      <w:spacing w:line="45" w:lineRule="exact"/>
      <w:rPr>
        <w:sz w:val="5"/>
      </w:rPr>
    </w:pPr>
    <w:r>
      <w:t xml:space="preserve"> </w:t>
    </w:r>
  </w:p>
  <w:tbl>
    <w:tblPr>
      <w:tblW w:w="5000" w:type="pct"/>
      <w:tblLayout w:type="fixed"/>
      <w:tblLook w:val="04A0"/>
    </w:tblPr>
    <w:tblGrid>
      <w:gridCol w:w="6732"/>
      <w:gridCol w:w="1123"/>
      <w:gridCol w:w="1777"/>
    </w:tblGrid>
    <w:tr w14:paraId="286AE872"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13D6D785"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3416B680" w14:textId="77777777"/>
      </w:tc>
      <w:tc>
        <w:tcPr>
          <w:tcW w:w="1900" w:type="dxa"/>
          <w:tcMar>
            <w:top w:w="0" w:type="dxa"/>
            <w:left w:w="0" w:type="dxa"/>
            <w:bottom w:w="0" w:type="dxa"/>
            <w:right w:w="0" w:type="dxa"/>
          </w:tcMar>
        </w:tcPr>
        <w:p w:rsidR="001F4AEE" w14:paraId="66641447"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14</w:t>
          </w:r>
          <w:r>
            <w:rPr>
              <w:lang w:val="fr-FR"/>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6B6B9184" w14:textId="77777777">
    <w:pPr>
      <w:pStyle w:val="TableNote"/>
      <w:spacing w:after="75"/>
      <w:rPr>
        <w:lang w:val="fr-FR"/>
      </w:rPr>
    </w:pPr>
  </w:p>
  <w:tbl>
    <w:tblPr>
      <w:tblW w:w="5000" w:type="pct"/>
      <w:tblBorders>
        <w:top w:val="dashSmallGap" w:sz="6" w:space="0" w:color="808080"/>
      </w:tblBorders>
      <w:tblLayout w:type="fixed"/>
      <w:tblLook w:val="04A0"/>
    </w:tblPr>
    <w:tblGrid>
      <w:gridCol w:w="9632"/>
    </w:tblGrid>
    <w:tr w14:paraId="412AF3F0" w14:textId="77777777">
      <w:tblPrEx>
        <w:tblW w:w="5000" w:type="pct"/>
        <w:tblBorders>
          <w:top w:val="dashSmallGap" w:sz="6" w:space="0" w:color="808080"/>
        </w:tblBorders>
        <w:tblLayout w:type="fixed"/>
        <w:tblLook w:val="04A0"/>
      </w:tblPrEx>
      <w:trPr>
        <w:trHeight w:hRule="exact" w:val="20"/>
      </w:trPr>
      <w:tc>
        <w:tcPr>
          <w:tcW w:w="10300" w:type="dxa"/>
          <w:tcBorders>
            <w:top w:val="dashSmallGap" w:sz="6" w:space="0" w:color="808080"/>
          </w:tcBorders>
          <w:tcMar>
            <w:top w:w="0" w:type="dxa"/>
            <w:left w:w="0" w:type="dxa"/>
            <w:bottom w:w="0" w:type="dxa"/>
            <w:right w:w="0" w:type="dxa"/>
          </w:tcMar>
        </w:tcPr>
        <w:p w:rsidR="001F4AEE" w14:paraId="18BA6114" w14:textId="77777777">
          <w:pPr>
            <w:spacing w:line="20" w:lineRule="exact"/>
          </w:pPr>
        </w:p>
      </w:tc>
    </w:tr>
  </w:tbl>
  <w:p w:rsidR="001F4AEE" w14:paraId="27DD1674" w14:textId="77777777">
    <w:pPr>
      <w:spacing w:line="45" w:lineRule="exact"/>
      <w:rPr>
        <w:sz w:val="5"/>
      </w:rPr>
    </w:pPr>
    <w:r>
      <w:t xml:space="preserve"> </w:t>
    </w:r>
  </w:p>
  <w:tbl>
    <w:tblPr>
      <w:tblW w:w="5000" w:type="pct"/>
      <w:tblLayout w:type="fixed"/>
      <w:tblLook w:val="04A0"/>
    </w:tblPr>
    <w:tblGrid>
      <w:gridCol w:w="6732"/>
      <w:gridCol w:w="1123"/>
      <w:gridCol w:w="1777"/>
    </w:tblGrid>
    <w:tr w14:paraId="41AE12AA" w14:textId="77777777">
      <w:tblPrEx>
        <w:tblW w:w="5000" w:type="pct"/>
        <w:tblLayout w:type="fixed"/>
        <w:tblLook w:val="04A0"/>
      </w:tblPrEx>
      <w:trPr>
        <w:trHeight w:val="585"/>
      </w:trPr>
      <w:tc>
        <w:tcPr>
          <w:tcW w:w="7200" w:type="dxa"/>
          <w:tcMar>
            <w:top w:w="0" w:type="dxa"/>
            <w:left w:w="0" w:type="dxa"/>
            <w:bottom w:w="0" w:type="dxa"/>
            <w:right w:w="0" w:type="dxa"/>
          </w:tcMar>
        </w:tcPr>
        <w:p w:rsidR="001F4AEE" w14:paraId="67B338EE" w14:textId="77777777">
          <w:pPr>
            <w:pStyle w:val="FooterTitle"/>
            <w:rPr>
              <w:lang w:val="fr-FR"/>
            </w:rPr>
          </w:pPr>
          <w:r>
            <w:rPr>
              <w:lang w:val="fr-FR"/>
            </w:rPr>
            <w:t>Informations semestrielles au 30/06/2025</w:t>
          </w:r>
        </w:p>
      </w:tc>
      <w:tc>
        <w:tcPr>
          <w:tcW w:w="1200" w:type="dxa"/>
          <w:tcMar>
            <w:top w:w="0" w:type="dxa"/>
            <w:left w:w="0" w:type="dxa"/>
            <w:bottom w:w="0" w:type="dxa"/>
            <w:right w:w="0" w:type="dxa"/>
          </w:tcMar>
        </w:tcPr>
        <w:p w:rsidR="001F4AEE" w14:paraId="619BE5AA" w14:textId="77777777"/>
      </w:tc>
      <w:tc>
        <w:tcPr>
          <w:tcW w:w="1900" w:type="dxa"/>
          <w:tcMar>
            <w:top w:w="0" w:type="dxa"/>
            <w:left w:w="0" w:type="dxa"/>
            <w:bottom w:w="0" w:type="dxa"/>
            <w:right w:w="0" w:type="dxa"/>
          </w:tcMar>
        </w:tcPr>
        <w:p w:rsidR="001F4AEE" w14:paraId="34C6977B" w14:textId="77777777">
          <w:pPr>
            <w:pStyle w:val="FooterIndex"/>
            <w:rPr>
              <w:lang w:val="fr-FR"/>
            </w:rPr>
          </w:pPr>
          <w:r>
            <w:rPr>
              <w:lang w:val="fr-FR"/>
            </w:rPr>
            <w:fldChar w:fldCharType="begin"/>
          </w:r>
          <w:r>
            <w:rPr>
              <w:lang w:val="fr-FR"/>
            </w:rPr>
            <w:instrText>PAGE -1</w:instrText>
          </w:r>
          <w:r>
            <w:rPr>
              <w:lang w:val="fr-FR"/>
            </w:rPr>
            <w:fldChar w:fldCharType="separate"/>
          </w:r>
          <w:r>
            <w:rPr>
              <w:rFonts w:ascii="Arial" w:eastAsia="Arial" w:hAnsi="Arial" w:cs="Arial"/>
              <w:color w:val="000000"/>
              <w:sz w:val="16"/>
              <w:lang w:val="fr-FR" w:eastAsia="en-US" w:bidi="ar-SA"/>
            </w:rPr>
            <w:t>15</w:t>
          </w:r>
          <w:r>
            <w:rPr>
              <w:lang w:val="fr-FR"/>
            </w:rPr>
            <w:fldChar w:fldCharType="end"/>
          </w:r>
        </w:p>
      </w:tc>
    </w:tr>
  </w:tbl>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294ABFA5" w14:textId="77777777">
    <w:pPr>
      <w:spacing w:line="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2ADF4DB0" w14:textId="77777777">
    <w:pPr>
      <w:pStyle w:val="HeaderTitle"/>
      <w:spacing w:before="120" w:line="540" w:lineRule="exact"/>
      <w:rPr>
        <w:lang w:val="fr-FR"/>
      </w:rPr>
    </w:pPr>
    <w:r>
      <w:rPr>
        <w:lang w:val="fr-FR"/>
      </w:rPr>
      <w:t>OPCVM AMUNDI MSCI WORLD CLIMATE PARIS ALIGNED PAB UMWELTZEICHEN UCITS ETF DR</w:t>
    </w:r>
  </w:p>
  <w:p w:rsidR="001F4AEE" w14:paraId="53B41F98" w14:textId="77777777">
    <w:pPr>
      <w:pStyle w:val="SimpleStyle"/>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6FEB395A" w14:textId="77777777">
    <w:pPr>
      <w:pStyle w:val="HeaderTitle"/>
      <w:spacing w:before="120" w:line="540" w:lineRule="exact"/>
      <w:rPr>
        <w:lang w:val="fr-FR"/>
      </w:rPr>
    </w:pPr>
    <w:r>
      <w:rPr>
        <w:lang w:val="fr-FR"/>
      </w:rPr>
      <w:t>OPCVM AMUNDI MSCI WORLD CLIMATE PARIS ALIGNED PAB UMWELTZEICHEN UCITS ETF DR</w:t>
    </w:r>
  </w:p>
  <w:p w:rsidR="001F4AEE" w14:paraId="2E043472" w14:textId="77777777">
    <w:pPr>
      <w:pStyle w:val="SimpleStyle"/>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48E3FD55" w14:textId="77777777">
    <w:pPr>
      <w:pStyle w:val="HeaderTitle"/>
      <w:spacing w:before="120" w:line="540" w:lineRule="exact"/>
      <w:rPr>
        <w:lang w:val="fr-FR"/>
      </w:rPr>
    </w:pPr>
    <w:r>
      <w:rPr>
        <w:lang w:val="fr-FR"/>
      </w:rPr>
      <w:t>OPCVM AMUNDI MSCI WORLD CLIMATE PARIS ALIGNED PAB UMWELTZEICHEN UCITS ETF DR</w:t>
    </w:r>
  </w:p>
  <w:p w:rsidR="001F4AEE" w14:paraId="6D7A845C" w14:textId="77777777">
    <w:pPr>
      <w:pStyle w:val="SimpleStyle"/>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5D47A29D" w14:textId="77777777">
    <w:pPr>
      <w:pStyle w:val="HeaderTitle"/>
      <w:spacing w:before="120" w:line="540" w:lineRule="exact"/>
      <w:rPr>
        <w:lang w:val="fr-FR"/>
      </w:rPr>
    </w:pPr>
    <w:r>
      <w:rPr>
        <w:lang w:val="fr-FR"/>
      </w:rPr>
      <w:t>OPCVM AMUNDI MSCI WORLD CLIMATE PARIS ALIGNED PAB UMWELTZEICHEN UCITS ETF DR</w:t>
    </w:r>
  </w:p>
  <w:p w:rsidR="001F4AEE" w14:paraId="20364C69" w14:textId="77777777">
    <w:pPr>
      <w:pStyle w:val="SimpleStyle"/>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62E16A72" w14:textId="77777777">
    <w:pPr>
      <w:pStyle w:val="HeaderTitle"/>
      <w:spacing w:before="120" w:line="540" w:lineRule="exact"/>
      <w:rPr>
        <w:lang w:val="fr-FR"/>
      </w:rPr>
    </w:pPr>
    <w:r>
      <w:rPr>
        <w:lang w:val="fr-FR"/>
      </w:rPr>
      <w:t>OPCVM AMUNDI MSCI WORLD CLIMATE PARIS ALIGNED PAB UMWELTZEICHEN UCITS ETF DR</w:t>
    </w:r>
  </w:p>
  <w:p w:rsidR="001F4AEE" w14:paraId="7CBD8136" w14:textId="77777777">
    <w:pPr>
      <w:pStyle w:val="SimpleStyle"/>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3F79F015" w14:textId="77777777">
    <w:pPr>
      <w:pStyle w:val="HeaderTitle"/>
      <w:spacing w:before="120" w:line="540" w:lineRule="exact"/>
      <w:rPr>
        <w:lang w:val="fr-FR"/>
      </w:rPr>
    </w:pPr>
    <w:r>
      <w:rPr>
        <w:lang w:val="fr-FR"/>
      </w:rPr>
      <w:t>OPCVM AMUNDI MSCI WORLD CLIMATE PARIS ALIGNED PAB UMWELTZEICHEN UCITS ETF DR</w:t>
    </w:r>
  </w:p>
  <w:p w:rsidR="001F4AEE" w14:paraId="43FC1FF5" w14:textId="77777777">
    <w:pPr>
      <w:pStyle w:val="SimpleStyle"/>
      <w:rPr>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4CD343F1" w14:textId="77777777">
    <w:pPr>
      <w:pStyle w:val="HeaderTitle"/>
      <w:spacing w:before="120" w:line="540" w:lineRule="exact"/>
      <w:rPr>
        <w:lang w:val="fr-FR"/>
      </w:rPr>
    </w:pPr>
    <w:r>
      <w:rPr>
        <w:lang w:val="fr-FR"/>
      </w:rPr>
      <w:t>OPCVM AMUNDI MSCI WORLD CLIMATE PARIS ALIGNED PAB UMWELTZEICHEN UCITS ETF DR</w:t>
    </w:r>
  </w:p>
  <w:p w:rsidR="001F4AEE" w14:paraId="5FE25DD3" w14:textId="77777777">
    <w:pPr>
      <w:pStyle w:val="SimpleStyle"/>
      <w:rPr>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11030352" w14:textId="77777777">
    <w:pPr>
      <w:pStyle w:val="HeaderTitle"/>
      <w:spacing w:before="120" w:line="540" w:lineRule="exact"/>
      <w:rPr>
        <w:lang w:val="fr-FR"/>
      </w:rPr>
    </w:pPr>
    <w:r>
      <w:rPr>
        <w:lang w:val="fr-FR"/>
      </w:rPr>
      <w:t>OPCVM AMUNDI MSCI WORLD CLIMATE PARIS ALIGNED PAB UMWELTZEICHEN UCITS ETF DR</w:t>
    </w:r>
  </w:p>
  <w:p w:rsidR="001F4AEE" w14:paraId="3BA30BCC" w14:textId="77777777">
    <w:pPr>
      <w:pStyle w:val="SimpleStyle"/>
      <w:rPr>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15513C1D" w14:textId="77777777">
    <w:pPr>
      <w:pStyle w:val="HeaderTitle"/>
      <w:spacing w:before="120" w:line="540" w:lineRule="exact"/>
      <w:rPr>
        <w:lang w:val="fr-FR"/>
      </w:rPr>
    </w:pPr>
    <w:r>
      <w:rPr>
        <w:lang w:val="fr-FR"/>
      </w:rPr>
      <w:t>OPCVM AMUNDI MSCI WORLD CLIMATE PARIS ALIGNED PAB UMWELTZEICHEN UCITS ETF DR</w:t>
    </w:r>
  </w:p>
  <w:p w:rsidR="001F4AEE" w14:paraId="687BE964" w14:textId="77777777">
    <w:pPr>
      <w:pStyle w:val="SimpleStyle"/>
      <w:rPr>
        <w:lang w:val="fr-FR"/>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7D37592F" w14:textId="77777777">
    <w:pPr>
      <w:pStyle w:val="HeaderTitle"/>
      <w:spacing w:before="120" w:line="540" w:lineRule="exact"/>
      <w:rPr>
        <w:lang w:val="fr-FR"/>
      </w:rPr>
    </w:pPr>
    <w:r>
      <w:rPr>
        <w:lang w:val="fr-FR"/>
      </w:rPr>
      <w:t>OPCVM AMUNDI MSCI WORLD CLIMATE PARIS ALIGNED PAB UMWELTZEICHEN UCITS ETF DR</w:t>
    </w:r>
  </w:p>
  <w:p w:rsidR="001F4AEE" w14:paraId="4F65557C" w14:textId="77777777">
    <w:pPr>
      <w:pStyle w:val="SimpleStyl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271CC02C" w14:textId="77777777">
    <w:pPr>
      <w:pStyle w:val="HeaderTitle"/>
      <w:spacing w:before="120" w:line="540" w:lineRule="exact"/>
      <w:rPr>
        <w:lang w:val="fr-FR"/>
      </w:rPr>
    </w:pPr>
    <w:r>
      <w:rPr>
        <w:lang w:val="fr-FR"/>
      </w:rPr>
      <w:t>OPCVM AMUNDI MSCI WORLD CLIMATE PARIS ALIGNED PAB UMWELTZEICHEN UCITS ETF DR</w:t>
    </w:r>
  </w:p>
  <w:p w:rsidR="001F4AEE" w14:paraId="1505204B" w14:textId="77777777">
    <w:pPr>
      <w:pStyle w:val="SimpleStyle"/>
      <w:rPr>
        <w:lang w:val="fr-FR"/>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717EB39E" w14:textId="77777777">
    <w:pPr>
      <w:pStyle w:val="HeaderTitle"/>
      <w:spacing w:before="120" w:line="540" w:lineRule="exact"/>
      <w:rPr>
        <w:lang w:val="fr-FR"/>
      </w:rPr>
    </w:pPr>
    <w:r>
      <w:rPr>
        <w:lang w:val="fr-FR"/>
      </w:rPr>
      <w:t>OPCVM AMUNDI MSCI WORLD CLIMATE PARIS ALIGNED PAB UMWELTZEICHEN UCITS ETF DR</w:t>
    </w:r>
  </w:p>
  <w:p w:rsidR="001F4AEE" w14:paraId="24BDB37B" w14:textId="77777777">
    <w:pPr>
      <w:pStyle w:val="SimpleStyle"/>
      <w:rPr>
        <w:lang w:val="fr-F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061C37DA" w14:textId="77777777">
    <w:pPr>
      <w:pStyle w:val="HeaderTitle"/>
      <w:spacing w:before="120" w:line="540" w:lineRule="exact"/>
      <w:rPr>
        <w:lang w:val="fr-FR"/>
      </w:rPr>
    </w:pPr>
    <w:r>
      <w:rPr>
        <w:lang w:val="fr-FR"/>
      </w:rPr>
      <w:t>OPCVM AMUNDI MSCI WORLD CLIMATE PARIS ALIGNED PAB UMWELTZEICHEN UCITS ETF DR</w:t>
    </w:r>
  </w:p>
  <w:p w:rsidR="001F4AEE" w14:paraId="03976B6F" w14:textId="77777777">
    <w:pPr>
      <w:pStyle w:val="SimpleStyle"/>
      <w:rPr>
        <w:lang w:val="fr-FR"/>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3263E403" w14:textId="77777777">
    <w:pPr>
      <w:pStyle w:val="HeaderTitle"/>
      <w:spacing w:before="120" w:line="540" w:lineRule="exact"/>
      <w:rPr>
        <w:lang w:val="fr-FR"/>
      </w:rPr>
    </w:pPr>
    <w:r>
      <w:rPr>
        <w:lang w:val="fr-FR"/>
      </w:rPr>
      <w:t>OPCVM AMUNDI MSCI WORLD CLIMATE PARIS ALIGNED PAB UMWELTZEICHEN UCITS ETF DR</w:t>
    </w:r>
  </w:p>
  <w:p w:rsidR="001F4AEE" w14:paraId="3D2F1D09" w14:textId="77777777">
    <w:pPr>
      <w:pStyle w:val="SimpleStyle"/>
      <w:rPr>
        <w:lang w:val="fr-FR"/>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0ECB4510" w14:textId="77777777">
    <w:pPr>
      <w:pStyle w:val="HeaderTitle"/>
      <w:spacing w:before="120" w:line="540" w:lineRule="exact"/>
      <w:rPr>
        <w:lang w:val="fr-FR"/>
      </w:rPr>
    </w:pPr>
    <w:r>
      <w:rPr>
        <w:lang w:val="fr-FR"/>
      </w:rPr>
      <w:t>OPCVM AMUNDI MSCI WORLD CLIMATE PARIS ALIGNED PAB UMWELTZEICHEN UCITS ETF DR</w:t>
    </w:r>
  </w:p>
  <w:p w:rsidR="001F4AEE" w14:paraId="272535AE" w14:textId="77777777">
    <w:pPr>
      <w:pStyle w:val="SimpleStyle"/>
      <w:rPr>
        <w:lang w:val="fr-FR"/>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26B1852A" w14:textId="77777777">
    <w:pPr>
      <w:pStyle w:val="HeaderTitle"/>
      <w:spacing w:before="120" w:line="540" w:lineRule="exact"/>
      <w:rPr>
        <w:lang w:val="fr-FR"/>
      </w:rPr>
    </w:pPr>
    <w:r>
      <w:rPr>
        <w:lang w:val="fr-FR"/>
      </w:rPr>
      <w:t>OPCVM AMUNDI MSCI WORLD CLIMATE PARIS ALIGNED PAB UMWELTZEICHEN UCITS ETF DR</w:t>
    </w:r>
  </w:p>
  <w:p w:rsidR="001F4AEE" w14:paraId="034E6DEF" w14:textId="77777777">
    <w:pPr>
      <w:pStyle w:val="SimpleStyle"/>
      <w:rPr>
        <w:lang w:val="fr-FR"/>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41F1AFDD" w14:textId="77777777">
    <w:pPr>
      <w:pStyle w:val="HeaderTitle"/>
      <w:spacing w:before="120" w:line="540" w:lineRule="exact"/>
      <w:rPr>
        <w:lang w:val="fr-FR"/>
      </w:rPr>
    </w:pPr>
    <w:r>
      <w:rPr>
        <w:lang w:val="fr-FR"/>
      </w:rPr>
      <w:t>OPCVM AMUNDI MSCI WORLD CLIMATE PARIS ALIGNED PAB UMWELTZEICHEN UCITS ETF DR</w:t>
    </w:r>
  </w:p>
  <w:p w:rsidR="001F4AEE" w14:paraId="6FF49A68" w14:textId="77777777">
    <w:pPr>
      <w:pStyle w:val="SimpleStyle"/>
      <w:rPr>
        <w:lang w:val="fr-FR"/>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0A3C5BD8" w14:textId="77777777">
    <w:pPr>
      <w:pStyle w:val="HeaderTitle"/>
      <w:spacing w:before="120" w:line="540" w:lineRule="exact"/>
      <w:rPr>
        <w:lang w:val="fr-FR"/>
      </w:rPr>
    </w:pPr>
    <w:r>
      <w:rPr>
        <w:lang w:val="fr-FR"/>
      </w:rPr>
      <w:t>OPCVM AMUNDI MSCI WORLD CLIMATE PARIS ALIGNED PAB UMWELTZEICHEN UCITS ETF DR</w:t>
    </w:r>
  </w:p>
  <w:p w:rsidR="001F4AEE" w14:paraId="489C145B" w14:textId="77777777">
    <w:pPr>
      <w:pStyle w:val="SimpleStyle"/>
      <w:rPr>
        <w:lang w:val="fr-FR"/>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239178EB" w14:textId="77777777">
    <w:pPr>
      <w:pStyle w:val="HeaderTitle"/>
      <w:spacing w:before="120" w:line="540" w:lineRule="exact"/>
      <w:rPr>
        <w:lang w:val="fr-FR"/>
      </w:rPr>
    </w:pPr>
    <w:r>
      <w:rPr>
        <w:lang w:val="fr-FR"/>
      </w:rPr>
      <w:t>OPCVM AMUNDI MSCI WORLD CLIMATE PARIS ALIGNED PAB UMWELTZEICHEN UCITS ETF DR</w:t>
    </w:r>
  </w:p>
  <w:p w:rsidR="001F4AEE" w14:paraId="1ED89DE6" w14:textId="77777777">
    <w:pPr>
      <w:pStyle w:val="SimpleStyle"/>
      <w:rPr>
        <w:lang w:val="fr-FR"/>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145BFED9" w14:textId="77777777">
    <w:pPr>
      <w:pStyle w:val="HeaderTitle"/>
      <w:spacing w:before="120" w:line="540" w:lineRule="exact"/>
      <w:rPr>
        <w:lang w:val="fr-FR"/>
      </w:rPr>
    </w:pPr>
    <w:r>
      <w:rPr>
        <w:lang w:val="fr-FR"/>
      </w:rPr>
      <w:t>OPCVM AMUNDI MSCI WORLD CLIMATE PARIS ALIGNED PAB UMWELTZEICHEN UCITS ETF DR</w:t>
    </w:r>
  </w:p>
  <w:p w:rsidR="001F4AEE" w14:paraId="284C7BD6" w14:textId="77777777">
    <w:pPr>
      <w:pStyle w:val="SimpleStyle"/>
      <w:rPr>
        <w:lang w:val="fr-FR"/>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0FAE9681" w14:textId="77777777">
    <w:pPr>
      <w:pStyle w:val="HeaderTitle"/>
      <w:spacing w:before="120" w:line="540" w:lineRule="exact"/>
      <w:rPr>
        <w:lang w:val="fr-FR"/>
      </w:rPr>
    </w:pPr>
    <w:r>
      <w:rPr>
        <w:lang w:val="fr-FR"/>
      </w:rPr>
      <w:t>OPCVM AMUNDI MSCI WORLD CLIMATE PARIS ALIGNED PAB UMWELTZEICHEN UCITS ETF DR</w:t>
    </w:r>
  </w:p>
  <w:p w:rsidR="001F4AEE" w14:paraId="37D095A0" w14:textId="77777777">
    <w:pPr>
      <w:pStyle w:val="SimpleStyl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29928947" w14:textId="77777777">
    <w:pPr>
      <w:pStyle w:val="HeaderTitle"/>
      <w:spacing w:before="120" w:line="540" w:lineRule="exact"/>
      <w:rPr>
        <w:lang w:val="fr-FR"/>
      </w:rPr>
    </w:pPr>
    <w:r>
      <w:rPr>
        <w:lang w:val="fr-FR"/>
      </w:rPr>
      <w:t>OPCVM AMUNDI MSCI WORLD CLIMATE PARIS ALIGNED PAB UMWELTZEICHEN UCITS ETF DR</w:t>
    </w:r>
  </w:p>
  <w:p w:rsidR="001F4AEE" w14:paraId="75A92BDA" w14:textId="77777777">
    <w:pPr>
      <w:pStyle w:val="SimpleStyle"/>
      <w:rPr>
        <w:lang w:val="fr-FR"/>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260B9576" w14:textId="77777777">
    <w:pPr>
      <w:pStyle w:val="HeaderTitle"/>
      <w:spacing w:before="120" w:line="540" w:lineRule="exact"/>
      <w:rPr>
        <w:lang w:val="fr-FR"/>
      </w:rPr>
    </w:pPr>
    <w:r>
      <w:rPr>
        <w:lang w:val="fr-FR"/>
      </w:rPr>
      <w:t>OPCVM AMUNDI MSCI WORLD CLIMATE PARIS ALIGNED PAB UMWELTZEICHEN UCITS ETF DR</w:t>
    </w:r>
  </w:p>
  <w:p w:rsidR="001F4AEE" w14:paraId="2571A5D0" w14:textId="77777777">
    <w:pPr>
      <w:pStyle w:val="SimpleStyle"/>
      <w:rPr>
        <w:lang w:val="fr-FR"/>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7EBDF502" w14:textId="77777777">
    <w:pPr>
      <w:pStyle w:val="HeaderTitle"/>
      <w:spacing w:before="120" w:line="540" w:lineRule="exact"/>
      <w:rPr>
        <w:lang w:val="fr-FR"/>
      </w:rPr>
    </w:pPr>
    <w:r>
      <w:rPr>
        <w:lang w:val="fr-FR"/>
      </w:rPr>
      <w:t>OPCVM AMUNDI MSCI WORLD CLIMATE PARIS ALIGNED PAB UMWELTZEICHEN UCITS ETF DR</w:t>
    </w:r>
  </w:p>
  <w:p w:rsidR="001F4AEE" w14:paraId="586D5951" w14:textId="77777777">
    <w:pPr>
      <w:pStyle w:val="SimpleStyle"/>
      <w:rPr>
        <w:lang w:val="fr-FR"/>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0E28590B" w14:textId="77777777">
    <w:pPr>
      <w:pStyle w:val="HeaderTitle"/>
      <w:spacing w:before="120" w:line="540" w:lineRule="exact"/>
      <w:rPr>
        <w:lang w:val="fr-FR"/>
      </w:rPr>
    </w:pPr>
    <w:r>
      <w:rPr>
        <w:lang w:val="fr-FR"/>
      </w:rPr>
      <w:t>OPCVM AMUNDI MSCI WORLD CLIMATE PARIS ALIGNED PAB UMWELTZEICHEN UCITS ETF DR</w:t>
    </w:r>
  </w:p>
  <w:p w:rsidR="001F4AEE" w14:paraId="3CECB511" w14:textId="77777777">
    <w:pPr>
      <w:pStyle w:val="SimpleStyle"/>
      <w:rPr>
        <w:lang w:val="fr-FR"/>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348E6157" w14:textId="77777777">
    <w:bookmarkStart w:id="152" w:name="Caractéristiques_de_l'OPC"/>
    <w:bookmarkEnd w:id="152"/>
    <w:bookmarkStart w:id="153" w:name="BK_BFB7BAE791B0C1A86A23E6EAAC6CE55B"/>
    <w:bookmarkEnd w:id="153"/>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07DB926A" w14:textId="77777777">
    <w:pPr>
      <w:spacing w:line="0" w:lineRule="auto"/>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3A229B77"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79C0781C" w14:textId="77777777">
    <w:pPr>
      <w:pStyle w:val="HeaderTitle"/>
      <w:spacing w:before="120" w:line="540" w:lineRule="exact"/>
      <w:rPr>
        <w:lang w:val="fr-FR"/>
      </w:rPr>
    </w:pPr>
    <w:r>
      <w:rPr>
        <w:lang w:val="fr-FR"/>
      </w:rPr>
      <w:t>OPCVM AMUNDI MSCI WORLD CLIMATE PARIS ALIGNED PAB UMWELTZEICHEN UCITS ETF DR</w:t>
    </w:r>
  </w:p>
  <w:p w:rsidR="001F4AEE" w14:paraId="67CCB11F" w14:textId="77777777">
    <w:pPr>
      <w:pStyle w:val="SimpleStyle"/>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6BF07930" w14:textId="77777777">
    <w:pPr>
      <w:pStyle w:val="HeaderTitle"/>
      <w:spacing w:before="120" w:line="540" w:lineRule="exact"/>
      <w:rPr>
        <w:lang w:val="fr-FR"/>
      </w:rPr>
    </w:pPr>
    <w:r>
      <w:rPr>
        <w:lang w:val="fr-FR"/>
      </w:rPr>
      <w:t>OPCVM AMUNDI MSCI WORLD CLIMATE PARIS ALIGNED PAB UMWELTZEICHEN UCITS ETF DR</w:t>
    </w:r>
  </w:p>
  <w:p w:rsidR="001F4AEE" w14:paraId="036610EA" w14:textId="77777777">
    <w:pPr>
      <w:pStyle w:val="SimpleStyle"/>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5D5A3F19" w14:textId="77777777">
    <w:pPr>
      <w:pStyle w:val="HeaderTitle"/>
      <w:spacing w:before="120" w:line="540" w:lineRule="exact"/>
      <w:rPr>
        <w:lang w:val="fr-FR"/>
      </w:rPr>
    </w:pPr>
    <w:r>
      <w:rPr>
        <w:lang w:val="fr-FR"/>
      </w:rPr>
      <w:t>OPCVM AMUNDI MSCI WORLD CLIMATE PARIS ALIGNED PAB UMWELTZEICHEN UCITS ETF DR</w:t>
    </w:r>
  </w:p>
  <w:p w:rsidR="001F4AEE" w14:paraId="6A338955" w14:textId="77777777">
    <w:pPr>
      <w:pStyle w:val="SimpleStyle"/>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14641C41" w14:textId="77777777">
    <w:pPr>
      <w:pStyle w:val="HeaderTitle"/>
      <w:spacing w:before="120" w:line="540" w:lineRule="exact"/>
      <w:rPr>
        <w:lang w:val="fr-FR"/>
      </w:rPr>
    </w:pPr>
    <w:r>
      <w:rPr>
        <w:lang w:val="fr-FR"/>
      </w:rPr>
      <w:t>OPCVM AMUNDI MSCI WORLD CLIMATE PARIS ALIGNED PAB UMWELTZEICHEN UCITS ETF DR</w:t>
    </w:r>
  </w:p>
  <w:p w:rsidR="001F4AEE" w14:paraId="5F9CA7E1" w14:textId="77777777">
    <w:pPr>
      <w:pStyle w:val="SimpleStyle"/>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45F59AB8" w14:textId="77777777">
    <w:pPr>
      <w:pStyle w:val="HeaderTitle"/>
      <w:spacing w:before="120" w:line="540" w:lineRule="exact"/>
      <w:rPr>
        <w:lang w:val="fr-FR"/>
      </w:rPr>
    </w:pPr>
    <w:r>
      <w:rPr>
        <w:lang w:val="fr-FR"/>
      </w:rPr>
      <w:t>OPCVM AMUNDI MSCI WORLD CLIMATE PARIS ALIGNED PAB UMWELTZEICHEN UCITS ETF DR</w:t>
    </w:r>
  </w:p>
  <w:p w:rsidR="001F4AEE" w14:paraId="7A3D5ED4" w14:textId="77777777">
    <w:pPr>
      <w:pStyle w:val="SimpleStyle"/>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AEE" w14:paraId="26F3726F" w14:textId="77777777">
    <w:pPr>
      <w:pStyle w:val="HeaderTitle"/>
      <w:spacing w:before="120" w:line="540" w:lineRule="exact"/>
      <w:rPr>
        <w:lang w:val="fr-FR"/>
      </w:rPr>
    </w:pPr>
    <w:r>
      <w:rPr>
        <w:lang w:val="fr-FR"/>
      </w:rPr>
      <w:t>OPCVM AMUNDI MSCI WORLD CLIMATE PARIS ALIGNED PAB UMWELTZEICHEN UCITS ETF DR</w:t>
    </w:r>
  </w:p>
  <w:p w:rsidR="001F4AEE" w14:paraId="6479DCCC" w14:textId="77777777">
    <w:pPr>
      <w:pStyle w:val="SimpleStyl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0F50EB"/>
    <w:multiLevelType w:val="hybridMultilevel"/>
    <w:tmpl w:val="22B25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680E69"/>
    <w:multiLevelType w:val="hybridMultilevel"/>
    <w:tmpl w:val="6A000532"/>
    <w:lvl w:ilvl="0">
      <w:start w:val="0"/>
      <w:numFmt w:val="bullet"/>
      <w:lvlText w:val="•"/>
      <w:lvlJc w:val="left"/>
      <w:pPr>
        <w:ind w:left="720" w:hanging="360"/>
      </w:pPr>
      <w:rPr>
        <w:rFonts w:ascii="Arial" w:eastAsia="Arial" w:hAnsi="Arial" w:cs="Arial" w:hint="default"/>
        <w:color w:val="232323"/>
        <w:sz w:val="20"/>
      </w:rPr>
    </w:lvl>
    <w:lvl w:ilvl="1" w:tentative="1">
      <w:start w:val="1"/>
      <w:numFmt w:val="bullet"/>
      <w:lvlText w:val="o"/>
      <w:lvlJc w:val="left"/>
      <w:pPr>
        <w:ind w:left="1440" w:hanging="360"/>
      </w:pPr>
      <w:rPr>
        <w:rFonts w:ascii="Arial" w:eastAsia="Arial" w:hAnsi="Arial" w:cs="Arial" w:hint="default"/>
        <w:color w:val="232323"/>
        <w:sz w:val="20"/>
      </w:rPr>
    </w:lvl>
    <w:lvl w:ilvl="2" w:tentative="1">
      <w:start w:val="1"/>
      <w:numFmt w:val="bullet"/>
      <w:lvlText w:val=""/>
      <w:lvlJc w:val="left"/>
      <w:pPr>
        <w:ind w:left="2160" w:hanging="360"/>
      </w:pPr>
      <w:rPr>
        <w:rFonts w:ascii="Wingdings" w:hAnsi="Wingdings" w:hint="default"/>
        <w:color w:val="232323"/>
        <w:sz w:val="20"/>
      </w:rPr>
    </w:lvl>
    <w:lvl w:ilvl="3" w:tentative="1">
      <w:start w:val="1"/>
      <w:numFmt w:val="bullet"/>
      <w:lvlText w:val=""/>
      <w:lvlJc w:val="left"/>
      <w:pPr>
        <w:ind w:left="2880" w:hanging="360"/>
      </w:pPr>
      <w:rPr>
        <w:rFonts w:ascii="Symbol" w:hAnsi="Symbol" w:hint="default"/>
        <w:color w:val="232323"/>
        <w:sz w:val="20"/>
      </w:rPr>
    </w:lvl>
    <w:lvl w:ilvl="4" w:tentative="1">
      <w:start w:val="1"/>
      <w:numFmt w:val="bullet"/>
      <w:lvlText w:val="o"/>
      <w:lvlJc w:val="left"/>
      <w:pPr>
        <w:ind w:left="3600" w:hanging="360"/>
      </w:pPr>
      <w:rPr>
        <w:rFonts w:ascii="Arial" w:eastAsia="Arial" w:hAnsi="Arial" w:cs="Arial" w:hint="default"/>
        <w:color w:val="232323"/>
        <w:sz w:val="20"/>
      </w:rPr>
    </w:lvl>
    <w:lvl w:ilvl="5" w:tentative="1">
      <w:start w:val="1"/>
      <w:numFmt w:val="bullet"/>
      <w:lvlText w:val=""/>
      <w:lvlJc w:val="left"/>
      <w:pPr>
        <w:ind w:left="4320" w:hanging="360"/>
      </w:pPr>
      <w:rPr>
        <w:rFonts w:ascii="Wingdings" w:hAnsi="Wingdings" w:hint="default"/>
        <w:color w:val="232323"/>
        <w:sz w:val="20"/>
      </w:rPr>
    </w:lvl>
    <w:lvl w:ilvl="6" w:tentative="1">
      <w:start w:val="1"/>
      <w:numFmt w:val="bullet"/>
      <w:lvlText w:val=""/>
      <w:lvlJc w:val="left"/>
      <w:pPr>
        <w:ind w:left="5040" w:hanging="360"/>
      </w:pPr>
      <w:rPr>
        <w:rFonts w:ascii="Symbol" w:hAnsi="Symbol" w:hint="default"/>
        <w:color w:val="232323"/>
        <w:sz w:val="20"/>
      </w:rPr>
    </w:lvl>
    <w:lvl w:ilvl="7" w:tentative="1">
      <w:start w:val="1"/>
      <w:numFmt w:val="bullet"/>
      <w:lvlText w:val="o"/>
      <w:lvlJc w:val="left"/>
      <w:pPr>
        <w:ind w:left="5760" w:hanging="360"/>
      </w:pPr>
      <w:rPr>
        <w:rFonts w:ascii="Arial" w:eastAsia="Arial" w:hAnsi="Arial" w:cs="Arial" w:hint="default"/>
        <w:color w:val="232323"/>
        <w:sz w:val="20"/>
      </w:rPr>
    </w:lvl>
    <w:lvl w:ilvl="8" w:tentative="1">
      <w:start w:val="1"/>
      <w:numFmt w:val="bullet"/>
      <w:lvlText w:val=""/>
      <w:lvlJc w:val="left"/>
      <w:pPr>
        <w:ind w:left="6480" w:hanging="360"/>
      </w:pPr>
      <w:rPr>
        <w:rFonts w:ascii="Wingdings" w:hAnsi="Wingdings" w:hint="default"/>
        <w:color w:val="232323"/>
        <w:sz w:val="20"/>
      </w:rPr>
    </w:lvl>
  </w:abstractNum>
  <w:num w:numId="1" w16cid:durableId="1294365432">
    <w:abstractNumId w:val="1"/>
  </w:num>
  <w:num w:numId="2" w16cid:durableId="9682398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kyurt, Ali">
    <w15:presenceInfo w15:providerId="AD" w15:userId="S-1-5-21-2591515774-526371144-4021151028-1273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embedSystemFonts/>
  <w:saveSubset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EE"/>
    <w:rsid w:val="000876FA"/>
    <w:rsid w:val="000C6582"/>
    <w:rsid w:val="001E431A"/>
    <w:rsid w:val="001F4AEE"/>
    <w:rsid w:val="0036311A"/>
    <w:rsid w:val="003A009E"/>
    <w:rsid w:val="0056074F"/>
    <w:rsid w:val="006E7594"/>
    <w:rsid w:val="00730F0B"/>
    <w:rsid w:val="00816373"/>
    <w:rsid w:val="008A1C13"/>
    <w:rsid w:val="008B2841"/>
    <w:rsid w:val="0097747E"/>
    <w:rsid w:val="00A77B3E"/>
    <w:rsid w:val="00A845C8"/>
    <w:rsid w:val="00AA09AC"/>
    <w:rsid w:val="00B82514"/>
    <w:rsid w:val="00C47C2A"/>
    <w:rsid w:val="00C8207E"/>
    <w:rsid w:val="00D33312"/>
    <w:rsid w:val="00D61EB0"/>
    <w:rsid w:val="00E437AA"/>
    <w:rsid w:val="00F42970"/>
    <w:rsid w:val="00FC3CB5"/>
  </w:rsids>
  <m:mathPr>
    <m:mathFont m:val="Cambria Math"/>
  </m:mathPr>
  <w:themeFontLang w:val="fr-FR"/>
  <w:clrSchemeMapping w:bg1="light1" w:t1="dark1" w:bg2="light2" w:t2="dark2" w:accent1="accent1" w:accent2="accent2" w:accent3="accent3" w:accent4="accent4" w:accent5="accent5" w:accent6="accent6" w:hyperlink="hyperlink" w:followedHyperlink="followedHyperlink"/>
  <w:doNotIncludeSubdocsInStats/>
  <w14:docId w14:val="34719A32"/>
  <w15:docId w15:val="{CFA08E0B-69ED-42D1-BC47-643B3504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ill Sans MT" w:eastAsia="Gill Sans MT" w:hAnsi="Gill Sans MT" w:cs="Gill Sans MT"/>
      <w:color w:val="232323"/>
      <w:sz w:val="2"/>
      <w:szCs w:val="24"/>
    </w:rPr>
  </w:style>
  <w:style w:type="paragraph" w:styleId="Heading1">
    <w:name w:val="heading 1"/>
    <w:basedOn w:val="Normal"/>
    <w:next w:val="Normal"/>
    <w:qFormat/>
    <w:rsid w:val="00EF7B96"/>
    <w:pPr>
      <w:keepNext/>
      <w:spacing w:before="240" w:after="160"/>
      <w:jc w:val="both"/>
      <w:outlineLvl w:val="0"/>
    </w:pPr>
    <w:rPr>
      <w:rFonts w:ascii="Arial" w:eastAsia="Arial" w:hAnsi="Arial" w:cs="Arial"/>
      <w:b/>
      <w:bCs/>
      <w:kern w:val="32"/>
      <w:sz w:val="36"/>
      <w:szCs w:val="32"/>
    </w:rPr>
  </w:style>
  <w:style w:type="paragraph" w:styleId="Heading2">
    <w:name w:val="heading 2"/>
    <w:basedOn w:val="Normal"/>
    <w:next w:val="Normal"/>
    <w:qFormat/>
    <w:rsid w:val="00EF7B96"/>
    <w:pPr>
      <w:keepNext/>
      <w:spacing w:before="200" w:after="160"/>
      <w:jc w:val="both"/>
      <w:outlineLvl w:val="1"/>
    </w:pPr>
    <w:rPr>
      <w:rFonts w:ascii="Arial" w:eastAsia="Arial" w:hAnsi="Arial" w:cs="Arial"/>
      <w:b/>
      <w:bCs/>
      <w:i/>
      <w:iCs/>
      <w:sz w:val="36"/>
      <w:szCs w:val="28"/>
    </w:rPr>
  </w:style>
  <w:style w:type="paragraph" w:styleId="Heading3">
    <w:name w:val="heading 3"/>
    <w:basedOn w:val="Normal"/>
    <w:next w:val="Normal"/>
    <w:qFormat/>
    <w:rsid w:val="00EF7B96"/>
    <w:pPr>
      <w:keepNext/>
      <w:spacing w:after="160"/>
      <w:jc w:val="both"/>
      <w:outlineLvl w:val="2"/>
    </w:pPr>
    <w:rPr>
      <w:rFonts w:ascii="Arial" w:eastAsia="Arial" w:hAnsi="Arial" w:cs="Arial"/>
      <w:b/>
      <w:bCs/>
      <w:sz w:val="20"/>
      <w:szCs w:val="26"/>
    </w:rPr>
  </w:style>
  <w:style w:type="paragraph" w:styleId="Heading4">
    <w:name w:val="heading 4"/>
    <w:basedOn w:val="Normal"/>
    <w:next w:val="Normal"/>
    <w:qFormat/>
    <w:rsid w:val="00EF7B96"/>
    <w:pPr>
      <w:keepNext/>
      <w:spacing w:after="160"/>
      <w:jc w:val="both"/>
      <w:outlineLvl w:val="3"/>
    </w:pPr>
    <w:rPr>
      <w:rFonts w:ascii="Arial" w:eastAsia="Arial" w:hAnsi="Arial" w:cs="Arial"/>
      <w:b/>
      <w:bCs/>
      <w:sz w:val="20"/>
      <w:szCs w:val="28"/>
    </w:rPr>
  </w:style>
  <w:style w:type="paragraph" w:styleId="Heading5">
    <w:name w:val="heading 5"/>
    <w:basedOn w:val="Normal"/>
    <w:next w:val="Normal"/>
    <w:qFormat/>
    <w:rsid w:val="00EF7B96"/>
    <w:pPr>
      <w:spacing w:before="240" w:after="160"/>
      <w:jc w:val="both"/>
      <w:outlineLvl w:val="4"/>
    </w:pPr>
    <w:rPr>
      <w:rFonts w:ascii="Arial" w:eastAsia="Arial" w:hAnsi="Arial" w:cs="Arial"/>
      <w:b/>
      <w:bCs/>
      <w:i/>
      <w:iCs/>
      <w:sz w:val="32"/>
      <w:szCs w:val="26"/>
    </w:rPr>
  </w:style>
  <w:style w:type="paragraph" w:styleId="Heading6">
    <w:name w:val="heading 6"/>
    <w:basedOn w:val="Normal"/>
    <w:next w:val="Normal"/>
    <w:qFormat/>
    <w:rsid w:val="00EF7B96"/>
    <w:pPr>
      <w:jc w:val="both"/>
      <w:outlineLvl w:val="5"/>
    </w:pPr>
    <w:rPr>
      <w:rFonts w:ascii="Arial" w:eastAsia="Arial" w:hAnsi="Arial" w:cs="Arial"/>
      <w:b/>
      <w:bCs/>
      <w:sz w:val="32"/>
      <w:szCs w:val="22"/>
    </w:rPr>
  </w:style>
  <w:style w:type="paragraph" w:styleId="Heading7">
    <w:name w:val="heading 7"/>
    <w:basedOn w:val="Normal"/>
    <w:next w:val="Normal"/>
    <w:qFormat/>
    <w:rsid w:val="00EF7B96"/>
    <w:pPr>
      <w:jc w:val="both"/>
      <w:outlineLvl w:val="6"/>
    </w:pPr>
    <w:rPr>
      <w:rFonts w:ascii="Arial" w:eastAsia="Arial" w:hAnsi="Arial" w:cs="Arial"/>
      <w:b/>
      <w:sz w:val="36"/>
    </w:rPr>
  </w:style>
  <w:style w:type="paragraph" w:styleId="Heading8">
    <w:name w:val="heading 8"/>
    <w:basedOn w:val="Normal"/>
    <w:next w:val="Normal"/>
    <w:qFormat/>
    <w:rsid w:val="00EF7B96"/>
    <w:pPr>
      <w:spacing w:before="240" w:after="160"/>
      <w:jc w:val="both"/>
      <w:outlineLvl w:val="7"/>
    </w:pPr>
    <w:rPr>
      <w:rFonts w:ascii="Arial" w:eastAsia="Arial" w:hAnsi="Arial" w:cs="Arial"/>
      <w:b/>
      <w:i/>
      <w:iCs/>
      <w:sz w:val="32"/>
    </w:rPr>
  </w:style>
  <w:style w:type="paragraph" w:styleId="Heading9">
    <w:name w:val="heading 9"/>
    <w:basedOn w:val="Normal"/>
    <w:next w:val="Normal"/>
    <w:qFormat/>
    <w:rsid w:val="00EF7B96"/>
    <w:pPr>
      <w:spacing w:before="240" w:after="160"/>
      <w:jc w:val="both"/>
      <w:outlineLvl w:val="8"/>
    </w:pPr>
    <w:rPr>
      <w:rFonts w:ascii="Arial" w:eastAsia="Arial" w:hAnsi="Arial" w:cs="Arial"/>
      <w:b/>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mpleStyle">
    <w:name w:val="SimpleStyle"/>
    <w:qFormat/>
    <w:rPr>
      <w:rFonts w:ascii="Arial" w:eastAsia="Arial" w:hAnsi="Arial" w:cs="Arial"/>
      <w:color w:val="232323"/>
      <w:sz w:val="18"/>
    </w:rPr>
  </w:style>
  <w:style w:type="paragraph" w:customStyle="1" w:styleId="SepList">
    <w:name w:val="SepList"/>
    <w:qFormat/>
    <w:rPr>
      <w:rFonts w:ascii="Arial" w:eastAsia="Arial" w:hAnsi="Arial" w:cs="Arial"/>
      <w:color w:val="FFFFFF"/>
      <w:sz w:val="2"/>
    </w:rPr>
  </w:style>
  <w:style w:type="paragraph" w:customStyle="1" w:styleId="TechnicalBookmark">
    <w:name w:val="TechnicalBookmark"/>
    <w:qFormat/>
    <w:rPr>
      <w:rFonts w:ascii="Arial" w:eastAsia="Arial" w:hAnsi="Arial" w:cs="Arial"/>
      <w:color w:val="000000"/>
      <w:sz w:val="0"/>
    </w:rPr>
  </w:style>
  <w:style w:type="paragraph" w:customStyle="1" w:styleId="RefToc1">
    <w:name w:val="RefToc1"/>
    <w:qFormat/>
    <w:rPr>
      <w:rFonts w:ascii="Arial" w:eastAsia="Arial" w:hAnsi="Arial" w:cs="Arial"/>
      <w:color w:val="FFFFFF"/>
      <w:sz w:val="2"/>
    </w:rPr>
  </w:style>
  <w:style w:type="paragraph" w:customStyle="1" w:styleId="RefToc2">
    <w:name w:val="RefToc2"/>
    <w:qFormat/>
    <w:rPr>
      <w:rFonts w:ascii="Arial" w:eastAsia="Arial" w:hAnsi="Arial" w:cs="Arial"/>
      <w:color w:val="FFFFFF"/>
      <w:sz w:val="2"/>
    </w:rPr>
  </w:style>
  <w:style w:type="paragraph" w:customStyle="1" w:styleId="RefToc3">
    <w:name w:val="RefToc3"/>
    <w:qFormat/>
    <w:rPr>
      <w:rFonts w:ascii="Arial" w:eastAsia="Arial" w:hAnsi="Arial" w:cs="Arial"/>
      <w:color w:val="FFFFFF"/>
      <w:sz w:val="2"/>
    </w:rPr>
  </w:style>
  <w:style w:type="paragraph" w:customStyle="1" w:styleId="RefToc4">
    <w:name w:val="RefToc4"/>
    <w:qFormat/>
    <w:rPr>
      <w:rFonts w:ascii="Arial" w:eastAsia="Arial" w:hAnsi="Arial" w:cs="Arial"/>
      <w:color w:val="FFFFFF"/>
      <w:sz w:val="2"/>
    </w:rPr>
  </w:style>
  <w:style w:type="paragraph" w:customStyle="1" w:styleId="RefToc5">
    <w:name w:val="RefToc5"/>
    <w:qFormat/>
    <w:rPr>
      <w:rFonts w:ascii="Arial" w:eastAsia="Arial" w:hAnsi="Arial" w:cs="Arial"/>
      <w:color w:val="FFFFFF"/>
      <w:sz w:val="2"/>
    </w:rPr>
  </w:style>
  <w:style w:type="paragraph" w:customStyle="1" w:styleId="RefToc6">
    <w:name w:val="RefToc6"/>
    <w:qFormat/>
    <w:rPr>
      <w:rFonts w:ascii="Arial" w:eastAsia="Arial" w:hAnsi="Arial" w:cs="Arial"/>
      <w:color w:val="FFFFFF"/>
      <w:sz w:val="2"/>
    </w:rPr>
  </w:style>
  <w:style w:type="paragraph" w:customStyle="1" w:styleId="RefToc7">
    <w:name w:val="RefToc7"/>
    <w:qFormat/>
    <w:rPr>
      <w:rFonts w:ascii="Arial" w:eastAsia="Arial" w:hAnsi="Arial" w:cs="Arial"/>
      <w:color w:val="FFFFFF"/>
      <w:sz w:val="2"/>
    </w:rPr>
  </w:style>
  <w:style w:type="paragraph" w:customStyle="1" w:styleId="RefToc8">
    <w:name w:val="RefToc8"/>
    <w:qFormat/>
    <w:rPr>
      <w:rFonts w:ascii="Arial" w:eastAsia="Arial" w:hAnsi="Arial" w:cs="Arial"/>
      <w:color w:val="FFFFFF"/>
      <w:sz w:val="2"/>
    </w:rPr>
  </w:style>
  <w:style w:type="paragraph" w:customStyle="1" w:styleId="RefToc9">
    <w:name w:val="RefToc9"/>
    <w:qFormat/>
    <w:rPr>
      <w:rFonts w:ascii="Arial" w:eastAsia="Arial" w:hAnsi="Arial" w:cs="Arial"/>
      <w:color w:val="FFFFFF"/>
      <w:sz w:val="2"/>
    </w:rPr>
  </w:style>
  <w:style w:type="paragraph" w:customStyle="1" w:styleId="NoRefToc">
    <w:name w:val="NoRefToc"/>
    <w:qFormat/>
    <w:rPr>
      <w:rFonts w:ascii="Arial" w:eastAsia="Arial" w:hAnsi="Arial" w:cs="Arial"/>
      <w:color w:val="FFFFFF"/>
      <w:sz w:val="2"/>
    </w:rPr>
  </w:style>
  <w:style w:type="paragraph" w:customStyle="1" w:styleId="ContributionStart">
    <w:name w:val="ContributionStart"/>
    <w:qFormat/>
    <w:pPr>
      <w:spacing w:after="60"/>
    </w:pPr>
    <w:rPr>
      <w:rFonts w:ascii="Arial" w:eastAsia="Arial" w:hAnsi="Arial" w:cs="Arial"/>
      <w:color w:val="232323"/>
      <w:sz w:val="12"/>
    </w:rPr>
  </w:style>
  <w:style w:type="paragraph" w:customStyle="1" w:styleId="ContributionEnd">
    <w:name w:val="ContributionEnd"/>
    <w:qFormat/>
    <w:pPr>
      <w:spacing w:after="20"/>
    </w:pPr>
    <w:rPr>
      <w:rFonts w:ascii="Arial" w:eastAsia="Arial" w:hAnsi="Arial" w:cs="Arial"/>
      <w:color w:val="232323"/>
      <w:sz w:val="2"/>
    </w:rPr>
  </w:style>
  <w:style w:type="paragraph" w:customStyle="1" w:styleId="CoverPropertyName">
    <w:name w:val="CoverPropertyName"/>
    <w:basedOn w:val="SimpleStyle"/>
    <w:qFormat/>
    <w:pPr>
      <w:jc w:val="both"/>
    </w:pPr>
    <w:rPr>
      <w:b/>
      <w:color w:val="00274F"/>
      <w:sz w:val="28"/>
    </w:rPr>
  </w:style>
  <w:style w:type="paragraph" w:customStyle="1" w:styleId="CoverPropertyNameCover">
    <w:name w:val="CoverPropertyNameCover"/>
    <w:basedOn w:val="SimpleStyle"/>
    <w:qFormat/>
    <w:rPr>
      <w:color w:val="00274F"/>
      <w:sz w:val="24"/>
    </w:rPr>
  </w:style>
  <w:style w:type="paragraph" w:customStyle="1" w:styleId="CoverReportType">
    <w:name w:val="CoverReportType"/>
    <w:basedOn w:val="SimpleStyle"/>
    <w:qFormat/>
    <w:rPr>
      <w:b/>
      <w:color w:val="00274F"/>
      <w:sz w:val="28"/>
    </w:rPr>
  </w:style>
  <w:style w:type="paragraph" w:customStyle="1" w:styleId="CoverTitle">
    <w:name w:val="CoverTitle"/>
    <w:basedOn w:val="SimpleStyle"/>
    <w:qFormat/>
    <w:pPr>
      <w:jc w:val="both"/>
    </w:pPr>
    <w:rPr>
      <w:b/>
      <w:color w:val="00274F"/>
      <w:sz w:val="52"/>
    </w:rPr>
  </w:style>
  <w:style w:type="paragraph" w:customStyle="1" w:styleId="TocIndexTitle">
    <w:name w:val="TocIndexTitle"/>
    <w:basedOn w:val="SimpleStyle"/>
    <w:qFormat/>
    <w:pPr>
      <w:jc w:val="right"/>
    </w:pPr>
    <w:rPr>
      <w:sz w:val="22"/>
    </w:rPr>
  </w:style>
  <w:style w:type="paragraph" w:customStyle="1" w:styleId="TocTitle">
    <w:name w:val="TocTitle"/>
    <w:basedOn w:val="SimpleStyle"/>
    <w:qFormat/>
    <w:pPr>
      <w:spacing w:before="400"/>
      <w:jc w:val="both"/>
    </w:pPr>
    <w:rPr>
      <w:b/>
      <w:sz w:val="36"/>
    </w:rPr>
  </w:style>
  <w:style w:type="paragraph" w:customStyle="1" w:styleId="HeaderTitle">
    <w:name w:val="HeaderTitle"/>
    <w:basedOn w:val="SimpleStyle"/>
    <w:qFormat/>
    <w:pPr>
      <w:spacing w:before="100" w:line="480" w:lineRule="exact"/>
      <w:ind w:left="-180" w:right="-580"/>
    </w:pPr>
    <w:rPr>
      <w:b/>
      <w:color w:val="009EE0"/>
      <w:sz w:val="44"/>
    </w:rPr>
  </w:style>
  <w:style w:type="paragraph" w:customStyle="1" w:styleId="HeaderTitle2">
    <w:name w:val="HeaderTitle2"/>
    <w:basedOn w:val="SimpleStyle"/>
    <w:qFormat/>
    <w:pPr>
      <w:spacing w:line="480" w:lineRule="exact"/>
      <w:ind w:left="-180" w:right="-580"/>
    </w:pPr>
    <w:rPr>
      <w:color w:val="009EE0"/>
      <w:sz w:val="44"/>
    </w:rPr>
  </w:style>
  <w:style w:type="paragraph" w:customStyle="1" w:styleId="BaseToc1">
    <w:name w:val="BaseToc1"/>
    <w:basedOn w:val="SimpleStyle"/>
    <w:qFormat/>
    <w:pPr>
      <w:tabs>
        <w:tab w:val="right" w:pos="10300"/>
      </w:tabs>
      <w:spacing w:line="360" w:lineRule="auto"/>
    </w:pPr>
    <w:rPr>
      <w:b/>
      <w:sz w:val="22"/>
    </w:rPr>
  </w:style>
  <w:style w:type="paragraph" w:customStyle="1" w:styleId="BaseToc2">
    <w:name w:val="BaseToc2"/>
    <w:basedOn w:val="SimpleStyle"/>
    <w:qFormat/>
    <w:pPr>
      <w:tabs>
        <w:tab w:val="right" w:pos="10300"/>
      </w:tabs>
      <w:spacing w:line="360" w:lineRule="auto"/>
      <w:ind w:left="1200"/>
    </w:pPr>
    <w:rPr>
      <w:sz w:val="22"/>
    </w:rPr>
  </w:style>
  <w:style w:type="paragraph" w:customStyle="1" w:styleId="BaseToc3">
    <w:name w:val="BaseToc3"/>
    <w:basedOn w:val="SimpleStyle"/>
    <w:qFormat/>
    <w:pPr>
      <w:tabs>
        <w:tab w:val="right" w:pos="10300"/>
      </w:tabs>
      <w:spacing w:line="360" w:lineRule="auto"/>
      <w:ind w:left="1200"/>
    </w:pPr>
  </w:style>
  <w:style w:type="paragraph" w:customStyle="1" w:styleId="BaseToc4">
    <w:name w:val="BaseToc4"/>
    <w:basedOn w:val="SimpleStyle"/>
    <w:qFormat/>
    <w:pPr>
      <w:tabs>
        <w:tab w:val="right" w:pos="10300"/>
      </w:tabs>
      <w:spacing w:line="360" w:lineRule="auto"/>
      <w:ind w:left="1200"/>
    </w:pPr>
  </w:style>
  <w:style w:type="paragraph" w:customStyle="1" w:styleId="BaseToc5">
    <w:name w:val="BaseToc5"/>
    <w:basedOn w:val="SimpleStyle"/>
    <w:qFormat/>
    <w:pPr>
      <w:spacing w:line="360" w:lineRule="auto"/>
      <w:ind w:left="1200"/>
    </w:pPr>
  </w:style>
  <w:style w:type="paragraph" w:customStyle="1" w:styleId="BaseToc6">
    <w:name w:val="BaseToc6"/>
    <w:basedOn w:val="SimpleStyle"/>
    <w:qFormat/>
    <w:pPr>
      <w:spacing w:line="360" w:lineRule="auto"/>
      <w:ind w:left="1200"/>
    </w:pPr>
  </w:style>
  <w:style w:type="paragraph" w:customStyle="1" w:styleId="BaseToc7">
    <w:name w:val="BaseToc7"/>
    <w:basedOn w:val="SimpleStyle"/>
    <w:qFormat/>
    <w:pPr>
      <w:spacing w:line="360" w:lineRule="auto"/>
      <w:ind w:left="1200"/>
    </w:pPr>
  </w:style>
  <w:style w:type="paragraph" w:customStyle="1" w:styleId="Contribution">
    <w:name w:val="Contribution"/>
    <w:basedOn w:val="SimpleStyle"/>
    <w:qFormat/>
    <w:pPr>
      <w:jc w:val="both"/>
    </w:pPr>
    <w:rPr>
      <w:sz w:val="20"/>
    </w:rPr>
  </w:style>
  <w:style w:type="paragraph" w:customStyle="1" w:styleId="FooterTitle">
    <w:name w:val="FooterTitle"/>
    <w:basedOn w:val="SimpleStyle"/>
    <w:qFormat/>
    <w:rPr>
      <w:color w:val="808080"/>
      <w:sz w:val="16"/>
    </w:rPr>
  </w:style>
  <w:style w:type="paragraph" w:customStyle="1" w:styleId="TableNote">
    <w:name w:val="TableNote"/>
    <w:basedOn w:val="SimpleStyle"/>
    <w:qFormat/>
    <w:pPr>
      <w:jc w:val="both"/>
    </w:pPr>
    <w:rPr>
      <w:color w:val="000000"/>
      <w:sz w:val="16"/>
    </w:rPr>
  </w:style>
  <w:style w:type="paragraph" w:customStyle="1" w:styleId="Bookmark">
    <w:name w:val="Bookmark"/>
    <w:basedOn w:val="SimpleStyle"/>
    <w:qFormat/>
    <w:rPr>
      <w:sz w:val="0"/>
    </w:rPr>
  </w:style>
  <w:style w:type="paragraph" w:customStyle="1" w:styleId="H1SPACEBEFORE">
    <w:name w:val="H1_SPACE_BEFORE"/>
    <w:basedOn w:val="SimpleStyle"/>
    <w:qFormat/>
    <w:rPr>
      <w:sz w:val="2"/>
      <w:shd w:val="clear" w:color="auto" w:fill="FFFFFF"/>
    </w:rPr>
  </w:style>
  <w:style w:type="paragraph" w:customStyle="1" w:styleId="H1">
    <w:name w:val="H1"/>
    <w:basedOn w:val="SimpleStyle"/>
    <w:qFormat/>
    <w:pPr>
      <w:spacing w:before="240" w:after="160"/>
      <w:jc w:val="both"/>
    </w:pPr>
    <w:rPr>
      <w:b/>
      <w:sz w:val="36"/>
    </w:rPr>
  </w:style>
  <w:style w:type="paragraph" w:customStyle="1" w:styleId="H2">
    <w:name w:val="H2"/>
    <w:basedOn w:val="SimpleStyle"/>
    <w:qFormat/>
    <w:pPr>
      <w:tabs>
        <w:tab w:val="right" w:leader="underscore" w:pos="10300"/>
      </w:tabs>
      <w:spacing w:after="160"/>
      <w:jc w:val="both"/>
    </w:pPr>
    <w:rPr>
      <w:b/>
      <w:sz w:val="24"/>
    </w:rPr>
  </w:style>
  <w:style w:type="paragraph" w:customStyle="1" w:styleId="H3">
    <w:name w:val="H3"/>
    <w:basedOn w:val="SimpleStyle"/>
    <w:qFormat/>
    <w:pPr>
      <w:spacing w:before="160" w:after="160"/>
      <w:jc w:val="both"/>
    </w:pPr>
    <w:rPr>
      <w:b/>
      <w:sz w:val="20"/>
    </w:rPr>
  </w:style>
  <w:style w:type="paragraph" w:customStyle="1" w:styleId="H4">
    <w:name w:val="H4"/>
    <w:basedOn w:val="SimpleStyle"/>
    <w:qFormat/>
    <w:pPr>
      <w:spacing w:after="160"/>
      <w:jc w:val="both"/>
    </w:pPr>
    <w:rPr>
      <w:b/>
      <w:sz w:val="20"/>
    </w:rPr>
  </w:style>
  <w:style w:type="paragraph" w:customStyle="1" w:styleId="H5">
    <w:name w:val="H5"/>
    <w:basedOn w:val="SimpleStyle"/>
    <w:qFormat/>
    <w:pPr>
      <w:spacing w:after="160"/>
      <w:jc w:val="both"/>
    </w:pPr>
    <w:rPr>
      <w:b/>
      <w:sz w:val="35"/>
    </w:rPr>
  </w:style>
  <w:style w:type="paragraph" w:customStyle="1" w:styleId="H6">
    <w:name w:val="H6"/>
    <w:basedOn w:val="SimpleStyle"/>
    <w:qFormat/>
    <w:pPr>
      <w:spacing w:after="100"/>
      <w:jc w:val="both"/>
    </w:pPr>
    <w:rPr>
      <w:b/>
      <w:sz w:val="32"/>
    </w:rPr>
  </w:style>
  <w:style w:type="paragraph" w:customStyle="1" w:styleId="H7">
    <w:name w:val="H7"/>
    <w:basedOn w:val="SimpleStyle"/>
    <w:qFormat/>
    <w:pPr>
      <w:jc w:val="both"/>
    </w:pPr>
    <w:rPr>
      <w:b/>
      <w:sz w:val="36"/>
    </w:rPr>
  </w:style>
  <w:style w:type="paragraph" w:customStyle="1" w:styleId="L1">
    <w:name w:val="L1"/>
    <w:basedOn w:val="SimpleStyle"/>
    <w:qFormat/>
    <w:pPr>
      <w:spacing w:before="200"/>
      <w:jc w:val="both"/>
    </w:pPr>
    <w:rPr>
      <w:b/>
      <w:sz w:val="20"/>
    </w:rPr>
  </w:style>
  <w:style w:type="paragraph" w:customStyle="1" w:styleId="L2">
    <w:name w:val="L2"/>
    <w:basedOn w:val="SimpleStyle"/>
    <w:qFormat/>
    <w:pPr>
      <w:spacing w:before="200"/>
      <w:jc w:val="both"/>
    </w:pPr>
    <w:rPr>
      <w:b/>
      <w:i/>
      <w:sz w:val="20"/>
    </w:rPr>
  </w:style>
  <w:style w:type="paragraph" w:customStyle="1" w:styleId="L3">
    <w:name w:val="L3"/>
    <w:basedOn w:val="SimpleStyle"/>
    <w:qFormat/>
    <w:pPr>
      <w:spacing w:before="200"/>
      <w:jc w:val="both"/>
    </w:pPr>
    <w:rPr>
      <w:b/>
      <w:sz w:val="20"/>
    </w:rPr>
  </w:style>
  <w:style w:type="paragraph" w:customStyle="1" w:styleId="L4">
    <w:name w:val="L4"/>
    <w:basedOn w:val="SimpleStyle"/>
    <w:qFormat/>
    <w:pPr>
      <w:spacing w:before="200"/>
      <w:jc w:val="both"/>
    </w:pPr>
    <w:rPr>
      <w:b/>
      <w:i/>
    </w:rPr>
  </w:style>
  <w:style w:type="paragraph" w:customStyle="1" w:styleId="L5">
    <w:name w:val="L5"/>
    <w:basedOn w:val="SimpleStyle"/>
    <w:qFormat/>
    <w:pPr>
      <w:spacing w:before="200"/>
      <w:jc w:val="both"/>
    </w:pPr>
    <w:rPr>
      <w:sz w:val="20"/>
    </w:rPr>
  </w:style>
  <w:style w:type="paragraph" w:customStyle="1" w:styleId="L6">
    <w:name w:val="L6"/>
    <w:basedOn w:val="SimpleStyle"/>
    <w:qFormat/>
    <w:pPr>
      <w:jc w:val="both"/>
    </w:pPr>
    <w:rPr>
      <w:b/>
      <w:sz w:val="32"/>
    </w:rPr>
  </w:style>
  <w:style w:type="paragraph" w:customStyle="1" w:styleId="L7">
    <w:name w:val="L7"/>
    <w:basedOn w:val="SimpleStyle"/>
    <w:qFormat/>
    <w:pPr>
      <w:jc w:val="both"/>
    </w:pPr>
    <w:rPr>
      <w:b/>
      <w:sz w:val="36"/>
    </w:rPr>
  </w:style>
  <w:style w:type="paragraph" w:customStyle="1" w:styleId="Text">
    <w:name w:val="Text"/>
    <w:basedOn w:val="SimpleStyle"/>
    <w:qFormat/>
    <w:pPr>
      <w:jc w:val="both"/>
    </w:pPr>
    <w:rPr>
      <w:sz w:val="20"/>
    </w:rPr>
  </w:style>
  <w:style w:type="paragraph" w:customStyle="1" w:styleId="BreakLine">
    <w:name w:val="BreakLine"/>
    <w:basedOn w:val="SimpleStyle"/>
    <w:qFormat/>
    <w:pPr>
      <w:spacing w:before="60"/>
      <w:jc w:val="both"/>
    </w:pPr>
  </w:style>
  <w:style w:type="paragraph" w:customStyle="1" w:styleId="SimpleStyleTableau">
    <w:name w:val="SimpleStyleTableau"/>
    <w:basedOn w:val="SimpleStyle"/>
    <w:qFormat/>
    <w:rPr>
      <w:sz w:val="16"/>
    </w:rPr>
  </w:style>
  <w:style w:type="paragraph" w:customStyle="1" w:styleId="SimpleStyleTop">
    <w:name w:val="SimpleStyleTop"/>
    <w:basedOn w:val="SimpleStyle"/>
    <w:qFormat/>
    <w:rPr>
      <w:sz w:val="16"/>
    </w:rPr>
  </w:style>
  <w:style w:type="paragraph" w:customStyle="1" w:styleId="DefaultEmptyStyle">
    <w:name w:val="DefaultEmptyStyle"/>
    <w:basedOn w:val="SimpleStyle"/>
    <w:qFormat/>
    <w:rPr>
      <w:color w:val="FFFFFF"/>
      <w:sz w:val="0"/>
    </w:rPr>
  </w:style>
  <w:style w:type="paragraph" w:customStyle="1" w:styleId="BottomPadding">
    <w:name w:val="BottomPadding"/>
    <w:basedOn w:val="SimpleStyle"/>
    <w:qFormat/>
    <w:rPr>
      <w:sz w:val="4"/>
    </w:rPr>
  </w:style>
  <w:style w:type="paragraph" w:customStyle="1" w:styleId="CoverPropertyValue1">
    <w:name w:val="CoverPropertyValue1"/>
    <w:basedOn w:val="SimpleStyle"/>
    <w:qFormat/>
    <w:pPr>
      <w:jc w:val="both"/>
    </w:pPr>
    <w:rPr>
      <w:color w:val="646464"/>
      <w:sz w:val="16"/>
    </w:rPr>
  </w:style>
  <w:style w:type="paragraph" w:customStyle="1" w:styleId="CoverPropertyValue">
    <w:name w:val="CoverPropertyValue"/>
    <w:basedOn w:val="CoverPropertyName"/>
    <w:qFormat/>
    <w:rPr>
      <w:b w:val="0"/>
      <w:sz w:val="24"/>
    </w:rPr>
  </w:style>
  <w:style w:type="paragraph" w:customStyle="1" w:styleId="BaseToc8">
    <w:name w:val="BaseToc8"/>
    <w:basedOn w:val="BaseToc5"/>
    <w:qFormat/>
  </w:style>
  <w:style w:type="paragraph" w:customStyle="1" w:styleId="BaseToc9">
    <w:name w:val="BaseToc9"/>
    <w:basedOn w:val="BaseToc5"/>
    <w:qFormat/>
  </w:style>
  <w:style w:type="paragraph" w:customStyle="1" w:styleId="FooterIndex">
    <w:name w:val="FooterIndex"/>
    <w:basedOn w:val="FooterTitle"/>
    <w:qFormat/>
    <w:pPr>
      <w:jc w:val="right"/>
    </w:pPr>
    <w:rPr>
      <w:color w:val="000000"/>
    </w:rPr>
  </w:style>
  <w:style w:type="paragraph" w:customStyle="1" w:styleId="Footnote1">
    <w:name w:val="Footnote1"/>
    <w:basedOn w:val="TableNote"/>
    <w:qFormat/>
  </w:style>
  <w:style w:type="paragraph" w:customStyle="1" w:styleId="Footnote2">
    <w:name w:val="Footnote2"/>
    <w:basedOn w:val="TableNote"/>
    <w:qFormat/>
  </w:style>
  <w:style w:type="paragraph" w:customStyle="1" w:styleId="Footnote3">
    <w:name w:val="Footnote3"/>
    <w:basedOn w:val="TableNote"/>
    <w:qFormat/>
  </w:style>
  <w:style w:type="paragraph" w:customStyle="1" w:styleId="Footnote4">
    <w:name w:val="Footnote4"/>
    <w:basedOn w:val="TableNote"/>
    <w:qFormat/>
  </w:style>
  <w:style w:type="paragraph" w:customStyle="1" w:styleId="Footnote5">
    <w:name w:val="Footnote5"/>
    <w:basedOn w:val="TableNote"/>
    <w:qFormat/>
  </w:style>
  <w:style w:type="paragraph" w:customStyle="1" w:styleId="Footnote6">
    <w:name w:val="Footnote6"/>
    <w:basedOn w:val="TableNote"/>
    <w:qFormat/>
  </w:style>
  <w:style w:type="paragraph" w:customStyle="1" w:styleId="Footnote7">
    <w:name w:val="Footnote7"/>
    <w:basedOn w:val="TableNote"/>
    <w:qFormat/>
  </w:style>
  <w:style w:type="paragraph" w:customStyle="1" w:styleId="Footnote8">
    <w:name w:val="Footnote8"/>
    <w:basedOn w:val="TableNote"/>
    <w:qFormat/>
  </w:style>
  <w:style w:type="paragraph" w:customStyle="1" w:styleId="Footnote9">
    <w:name w:val="Footnote9"/>
    <w:basedOn w:val="TableNote"/>
    <w:qFormat/>
  </w:style>
  <w:style w:type="paragraph" w:customStyle="1" w:styleId="H2SPACEBEFORE">
    <w:name w:val="H2_SPACE_BEFORE"/>
    <w:basedOn w:val="H1SPACEBEFORE"/>
    <w:qFormat/>
  </w:style>
  <w:style w:type="paragraph" w:customStyle="1" w:styleId="H3SPACEBEFORE">
    <w:name w:val="H3_SPACE_BEFORE"/>
    <w:basedOn w:val="H1SPACEBEFORE"/>
    <w:qFormat/>
  </w:style>
  <w:style w:type="paragraph" w:customStyle="1" w:styleId="H4SPACEBEFORE">
    <w:name w:val="H4_SPACE_BEFORE"/>
    <w:basedOn w:val="H1SPACEBEFORE"/>
    <w:qFormat/>
  </w:style>
  <w:style w:type="paragraph" w:customStyle="1" w:styleId="H5SPACEBEFORE">
    <w:name w:val="H5_SPACE_BEFORE"/>
    <w:basedOn w:val="H1SPACEBEFORE"/>
    <w:qFormat/>
  </w:style>
  <w:style w:type="paragraph" w:customStyle="1" w:styleId="L8">
    <w:name w:val="L8"/>
    <w:basedOn w:val="L5"/>
    <w:qFormat/>
  </w:style>
  <w:style w:type="paragraph" w:customStyle="1" w:styleId="L9">
    <w:name w:val="L9"/>
    <w:basedOn w:val="L5"/>
    <w:qFormat/>
  </w:style>
  <w:style w:type="paragraph" w:customStyle="1" w:styleId="H8">
    <w:name w:val="H8"/>
    <w:basedOn w:val="H5"/>
    <w:qFormat/>
  </w:style>
  <w:style w:type="paragraph" w:customStyle="1" w:styleId="H9">
    <w:name w:val="H9"/>
    <w:basedOn w:val="H5"/>
    <w:qFormat/>
  </w:style>
  <w:style w:type="paragraph" w:customStyle="1" w:styleId="Text1">
    <w:name w:val="Text1"/>
    <w:basedOn w:val="Text"/>
    <w:qFormat/>
  </w:style>
  <w:style w:type="paragraph" w:customStyle="1" w:styleId="Text2">
    <w:name w:val="Text2"/>
    <w:basedOn w:val="Text"/>
    <w:qFormat/>
  </w:style>
  <w:style w:type="paragraph" w:customStyle="1" w:styleId="Text3">
    <w:name w:val="Text3"/>
    <w:basedOn w:val="Text"/>
    <w:qFormat/>
  </w:style>
  <w:style w:type="paragraph" w:customStyle="1" w:styleId="Text4">
    <w:name w:val="Text4"/>
    <w:basedOn w:val="Text"/>
    <w:qFormat/>
  </w:style>
  <w:style w:type="paragraph" w:customStyle="1" w:styleId="Text5">
    <w:name w:val="Text5"/>
    <w:basedOn w:val="Text"/>
    <w:qFormat/>
  </w:style>
  <w:style w:type="paragraph" w:customStyle="1" w:styleId="Text6">
    <w:name w:val="Text6"/>
    <w:basedOn w:val="Text"/>
    <w:qFormat/>
  </w:style>
  <w:style w:type="paragraph" w:customStyle="1" w:styleId="Text7">
    <w:name w:val="Text7"/>
    <w:basedOn w:val="Text"/>
    <w:qFormat/>
  </w:style>
  <w:style w:type="paragraph" w:customStyle="1" w:styleId="Text8">
    <w:name w:val="Text8"/>
    <w:basedOn w:val="Text"/>
    <w:qFormat/>
  </w:style>
  <w:style w:type="paragraph" w:customStyle="1" w:styleId="Text9">
    <w:name w:val="Text9"/>
    <w:basedOn w:val="Text"/>
    <w:qFormat/>
  </w:style>
  <w:style w:type="paragraph" w:customStyle="1" w:styleId="EnteteTabFirstColBordureCentre">
    <w:name w:val="EnteteTab FirstCol Bordure Centre"/>
    <w:basedOn w:val="SimpleStyleTableau"/>
    <w:qFormat/>
    <w:pPr>
      <w:ind w:left="100"/>
      <w:jc w:val="center"/>
    </w:pPr>
    <w:rPr>
      <w:b/>
    </w:rPr>
  </w:style>
  <w:style w:type="paragraph" w:customStyle="1" w:styleId="EnteteTabMiddleColBordure">
    <w:name w:val="EnteteTab MiddleCol Bordure"/>
    <w:basedOn w:val="SimpleStyleTableau"/>
    <w:qFormat/>
    <w:pPr>
      <w:jc w:val="center"/>
    </w:pPr>
    <w:rPr>
      <w:b/>
    </w:rPr>
  </w:style>
  <w:style w:type="paragraph" w:customStyle="1" w:styleId="EnteteTabLastColBordure">
    <w:name w:val="EnteteTab LastCol Bordure"/>
    <w:basedOn w:val="SimpleStyleTableau"/>
    <w:qFormat/>
    <w:pPr>
      <w:jc w:val="center"/>
    </w:pPr>
    <w:rPr>
      <w:b/>
    </w:rPr>
  </w:style>
  <w:style w:type="paragraph" w:customStyle="1" w:styleId="Tab2LastColGras">
    <w:name w:val="Tab2 LastCol Gras"/>
    <w:basedOn w:val="SimpleStyleTableau"/>
    <w:qFormat/>
    <w:pPr>
      <w:ind w:right="100"/>
      <w:jc w:val="right"/>
    </w:pPr>
    <w:rPr>
      <w:b/>
    </w:rPr>
  </w:style>
  <w:style w:type="paragraph" w:customStyle="1" w:styleId="TotalTabFirstColBordureNonGras">
    <w:name w:val="TotalTab FirstCol Bordure NonGras"/>
    <w:basedOn w:val="SimpleStyleTableau"/>
    <w:qFormat/>
    <w:pPr>
      <w:ind w:left="100" w:right="100"/>
      <w:jc w:val="both"/>
    </w:pPr>
    <w:rPr>
      <w:color w:val="000000"/>
    </w:rPr>
  </w:style>
  <w:style w:type="paragraph" w:customStyle="1" w:styleId="TotalTabMiddleColBordureNonGras">
    <w:name w:val="TotalTab MiddleCol Bordure NonGras"/>
    <w:basedOn w:val="SimpleStyleTableau"/>
    <w:qFormat/>
    <w:pPr>
      <w:ind w:right="100"/>
      <w:jc w:val="right"/>
    </w:pPr>
  </w:style>
  <w:style w:type="paragraph" w:customStyle="1" w:styleId="TotalTabLastColBordureNonGras">
    <w:name w:val="TotalTab LastCol Bordure NonGras"/>
    <w:basedOn w:val="SimpleStyleTableau"/>
    <w:qFormat/>
    <w:pPr>
      <w:ind w:right="100"/>
      <w:jc w:val="right"/>
    </w:pPr>
  </w:style>
  <w:style w:type="paragraph" w:customStyle="1" w:styleId="EnteteTabFirstColBordure">
    <w:name w:val="EnteteTab FirstCol Bordure"/>
    <w:basedOn w:val="SimpleStyleTableau"/>
    <w:qFormat/>
    <w:pPr>
      <w:ind w:left="100" w:right="20"/>
    </w:pPr>
    <w:rPr>
      <w:b/>
    </w:rPr>
  </w:style>
  <w:style w:type="paragraph" w:customStyle="1" w:styleId="Tab1FirstColGras">
    <w:name w:val="Tab1 FirstCol Gras"/>
    <w:basedOn w:val="SimpleStyleTableau"/>
    <w:qFormat/>
    <w:pPr>
      <w:ind w:left="100" w:right="100"/>
      <w:jc w:val="both"/>
    </w:pPr>
    <w:rPr>
      <w:b/>
      <w:color w:val="000000"/>
      <w:shd w:val="clear" w:color="auto" w:fill="FFFFFF"/>
    </w:rPr>
  </w:style>
  <w:style w:type="paragraph" w:customStyle="1" w:styleId="Tab1FirstColTop">
    <w:name w:val="Tab1 FirstCol Top"/>
    <w:basedOn w:val="SimpleStyleTop"/>
    <w:qFormat/>
    <w:pPr>
      <w:ind w:left="100" w:right="100"/>
    </w:pPr>
  </w:style>
  <w:style w:type="paragraph" w:customStyle="1" w:styleId="Tab1MiddleColNonGrasTop">
    <w:name w:val="Tab1 MiddleCol NonGras Top"/>
    <w:basedOn w:val="SimpleStyleTop"/>
    <w:qFormat/>
    <w:pPr>
      <w:ind w:right="100"/>
      <w:jc w:val="right"/>
    </w:pPr>
  </w:style>
  <w:style w:type="paragraph" w:customStyle="1" w:styleId="Tab1LastColNonGrasTop">
    <w:name w:val="Tab1 LastCol NonGras Top"/>
    <w:basedOn w:val="SimpleStyleTop"/>
    <w:qFormat/>
    <w:pPr>
      <w:ind w:right="100"/>
      <w:jc w:val="right"/>
    </w:pPr>
  </w:style>
  <w:style w:type="paragraph" w:customStyle="1" w:styleId="Tab1MiddleColGras">
    <w:name w:val="Tab1 MiddleCol Gras"/>
    <w:basedOn w:val="SimpleStyleTableau"/>
    <w:qFormat/>
    <w:pPr>
      <w:ind w:right="100"/>
      <w:jc w:val="right"/>
    </w:pPr>
    <w:rPr>
      <w:b/>
      <w:color w:val="000000"/>
    </w:rPr>
  </w:style>
  <w:style w:type="paragraph" w:customStyle="1" w:styleId="Tab1LastColGras">
    <w:name w:val="Tab1 LastCol Gras"/>
    <w:basedOn w:val="SimpleStyleTableau"/>
    <w:qFormat/>
    <w:pPr>
      <w:ind w:right="100"/>
      <w:jc w:val="right"/>
    </w:pPr>
    <w:rPr>
      <w:b/>
    </w:rPr>
  </w:style>
  <w:style w:type="paragraph" w:customStyle="1" w:styleId="TotalTabFirstColBordure">
    <w:name w:val="TotalTab FirstCol Bordure"/>
    <w:basedOn w:val="SimpleStyleTableau"/>
    <w:qFormat/>
    <w:pPr>
      <w:ind w:left="100" w:right="100"/>
      <w:jc w:val="both"/>
    </w:pPr>
    <w:rPr>
      <w:b/>
      <w:color w:val="000000"/>
    </w:rPr>
  </w:style>
  <w:style w:type="paragraph" w:customStyle="1" w:styleId="TotalTabMiddleColBordure">
    <w:name w:val="TotalTab MiddleCol Bordure"/>
    <w:basedOn w:val="SimpleStyleTableau"/>
    <w:qFormat/>
    <w:pPr>
      <w:ind w:right="100"/>
      <w:jc w:val="right"/>
    </w:pPr>
    <w:rPr>
      <w:b/>
    </w:rPr>
  </w:style>
  <w:style w:type="paragraph" w:customStyle="1" w:styleId="TotalTabLastColBordure">
    <w:name w:val="TotalTab LastCol Bordure"/>
    <w:basedOn w:val="SimpleStyleTableau"/>
    <w:qFormat/>
    <w:pPr>
      <w:ind w:right="100"/>
      <w:jc w:val="right"/>
    </w:pPr>
    <w:rPr>
      <w:b/>
    </w:rPr>
  </w:style>
  <w:style w:type="paragraph" w:customStyle="1" w:styleId="Tab1MiddleColNonGrasCentre">
    <w:name w:val="Tab1 MiddleCol NonGras Centre"/>
    <w:basedOn w:val="SimpleStyleTableau"/>
    <w:qFormat/>
    <w:pPr>
      <w:jc w:val="center"/>
    </w:pPr>
  </w:style>
  <w:style w:type="paragraph" w:customStyle="1" w:styleId="Tab3FirstColNonGras">
    <w:name w:val="Tab3 FirstCol NonGras"/>
    <w:basedOn w:val="SimpleStyleTableau"/>
    <w:qFormat/>
    <w:pPr>
      <w:ind w:left="360" w:right="100"/>
      <w:jc w:val="both"/>
    </w:pPr>
  </w:style>
  <w:style w:type="paragraph" w:customStyle="1" w:styleId="Tab3MiddleColNonGras">
    <w:name w:val="Tab3 MiddleCol NonGras"/>
    <w:basedOn w:val="SimpleStyleTableau"/>
    <w:qFormat/>
    <w:pPr>
      <w:ind w:right="100"/>
      <w:jc w:val="right"/>
    </w:pPr>
  </w:style>
  <w:style w:type="paragraph" w:customStyle="1" w:styleId="Tab3LastColNonGras">
    <w:name w:val="Tab3 LastCol NonGras"/>
    <w:basedOn w:val="SimpleStyleTableau"/>
    <w:qFormat/>
    <w:pPr>
      <w:ind w:right="100"/>
      <w:jc w:val="right"/>
    </w:pPr>
  </w:style>
  <w:style w:type="paragraph" w:customStyle="1" w:styleId="Tab1FirstColNonGrasLeft">
    <w:name w:val="Tab1 FirstCol NonGras Left"/>
    <w:basedOn w:val="SimpleStyleTableau"/>
    <w:qFormat/>
    <w:pPr>
      <w:ind w:left="100" w:right="100"/>
    </w:pPr>
  </w:style>
  <w:style w:type="paragraph" w:customStyle="1" w:styleId="Tab1MiddleColNonGras">
    <w:name w:val="Tab1 MiddleCol NonGras"/>
    <w:basedOn w:val="SimpleStyleTableau"/>
    <w:qFormat/>
    <w:pPr>
      <w:ind w:right="100"/>
      <w:jc w:val="right"/>
    </w:pPr>
  </w:style>
  <w:style w:type="paragraph" w:customStyle="1" w:styleId="EnteteTabNoBordureUpNoGras">
    <w:name w:val="EnteteTab NoBordureUp NoGras"/>
    <w:basedOn w:val="SimpleStyleTableau"/>
    <w:qFormat/>
    <w:pPr>
      <w:jc w:val="right"/>
    </w:pPr>
  </w:style>
  <w:style w:type="paragraph" w:customStyle="1" w:styleId="Tab1FirstColNonGras">
    <w:name w:val="Tab1 FirstCol NonGras"/>
    <w:basedOn w:val="SimpleStyleTableau"/>
    <w:qFormat/>
    <w:pPr>
      <w:ind w:left="100" w:right="100"/>
      <w:jc w:val="both"/>
    </w:pPr>
  </w:style>
  <w:style w:type="paragraph" w:customStyle="1" w:styleId="Tab1FirstColNonGrasBordureUp">
    <w:name w:val="Tab1 FirstCol NonGras BordureUp"/>
    <w:basedOn w:val="SimpleStyleTableau"/>
    <w:qFormat/>
    <w:pPr>
      <w:ind w:left="100" w:right="100"/>
      <w:jc w:val="both"/>
    </w:pPr>
  </w:style>
  <w:style w:type="paragraph" w:customStyle="1" w:styleId="Tab2FirstColNonGras">
    <w:name w:val="Tab2 FirstCol NonGras"/>
    <w:basedOn w:val="SimpleStyleTableau"/>
    <w:qFormat/>
    <w:pPr>
      <w:ind w:left="200" w:right="100"/>
      <w:jc w:val="both"/>
    </w:pPr>
  </w:style>
  <w:style w:type="paragraph" w:styleId="TOC5">
    <w:name w:val="toc 5"/>
    <w:basedOn w:val="BaseToc5"/>
    <w:next w:val="Normal"/>
    <w:autoRedefine/>
    <w:uiPriority w:val="39"/>
    <w:rsid w:val="000F3DF7"/>
  </w:style>
  <w:style w:type="paragraph" w:styleId="TOC6">
    <w:name w:val="toc 6"/>
    <w:basedOn w:val="BaseToc6"/>
    <w:next w:val="Normal"/>
    <w:autoRedefine/>
    <w:uiPriority w:val="39"/>
    <w:rsid w:val="000F3DF7"/>
  </w:style>
  <w:style w:type="paragraph" w:styleId="TOC3">
    <w:name w:val="toc 3"/>
    <w:basedOn w:val="BaseToc3"/>
    <w:next w:val="Normal"/>
    <w:autoRedefine/>
    <w:uiPriority w:val="39"/>
    <w:rsid w:val="000F3DF7"/>
  </w:style>
  <w:style w:type="paragraph" w:styleId="TOC4">
    <w:name w:val="toc 4"/>
    <w:basedOn w:val="BaseToc4"/>
    <w:next w:val="Normal"/>
    <w:autoRedefine/>
    <w:uiPriority w:val="39"/>
    <w:rsid w:val="000F3DF7"/>
  </w:style>
  <w:style w:type="paragraph" w:styleId="TOC1">
    <w:name w:val="toc 1"/>
    <w:basedOn w:val="BaseToc1"/>
    <w:next w:val="Normal"/>
    <w:autoRedefine/>
    <w:uiPriority w:val="39"/>
    <w:rsid w:val="000F3DF7"/>
  </w:style>
  <w:style w:type="paragraph" w:styleId="TOC2">
    <w:name w:val="toc 2"/>
    <w:basedOn w:val="BaseToc2"/>
    <w:next w:val="Normal"/>
    <w:autoRedefine/>
    <w:uiPriority w:val="39"/>
    <w:rsid w:val="000F3DF7"/>
  </w:style>
  <w:style w:type="paragraph" w:styleId="TOC9">
    <w:name w:val="toc 9"/>
    <w:basedOn w:val="BaseToc9"/>
    <w:next w:val="Normal"/>
    <w:autoRedefine/>
    <w:uiPriority w:val="39"/>
    <w:rsid w:val="000F3DF7"/>
  </w:style>
  <w:style w:type="paragraph" w:styleId="TOC7">
    <w:name w:val="toc 7"/>
    <w:basedOn w:val="BaseToc7"/>
    <w:next w:val="Normal"/>
    <w:autoRedefine/>
    <w:uiPriority w:val="39"/>
    <w:rsid w:val="000F3DF7"/>
  </w:style>
  <w:style w:type="paragraph" w:styleId="TOC8">
    <w:name w:val="toc 8"/>
    <w:basedOn w:val="BaseToc8"/>
    <w:next w:val="Normal"/>
    <w:autoRedefine/>
    <w:uiPriority w:val="39"/>
    <w:rsid w:val="000F3DF7"/>
  </w:style>
  <w:style w:type="character" w:styleId="Hyperlink">
    <w:name w:val="Hyperlink"/>
    <w:basedOn w:val="DefaultParagraphFont"/>
    <w:uiPriority w:val="99"/>
    <w:rsid w:val="005832BD"/>
    <w:rPr>
      <w:color w:val="0563C1"/>
      <w:u w:val="single"/>
    </w:rPr>
  </w:style>
  <w:style w:type="paragraph" w:customStyle="1" w:styleId="NormalNoContent">
    <w:name w:val="Normal NoContent"/>
    <w:next w:val="Normal"/>
    <w:qFormat/>
    <w:rPr>
      <w:rFonts w:ascii="Gill Sans MT" w:eastAsia="Gill Sans MT" w:hAnsi="Gill Sans MT" w:cs="Gill Sans MT"/>
      <w:color w:val="232323"/>
      <w:sz w:val="2"/>
      <w:szCs w:val="24"/>
    </w:rPr>
  </w:style>
  <w:style w:type="paragraph" w:customStyle="1" w:styleId="Tab1FirstColGrasNoContent">
    <w:name w:val="Tab1 FirstCol Gras NoContent"/>
    <w:qFormat/>
    <w:pPr>
      <w:ind w:left="100" w:right="100"/>
      <w:jc w:val="both"/>
    </w:pPr>
    <w:rPr>
      <w:rFonts w:ascii="Arial" w:eastAsia="Arial" w:hAnsi="Arial" w:cs="Arial"/>
      <w:b/>
      <w:color w:val="000000"/>
      <w:sz w:val="2"/>
      <w:shd w:val="clear" w:color="auto" w:fill="FFFFFF"/>
    </w:rPr>
  </w:style>
  <w:style w:type="paragraph" w:customStyle="1" w:styleId="Tab1MiddleColGrasNoContent">
    <w:name w:val="Tab1 MiddleCol Gras NoContent"/>
    <w:qFormat/>
    <w:pPr>
      <w:ind w:right="100"/>
      <w:jc w:val="right"/>
    </w:pPr>
    <w:rPr>
      <w:rFonts w:ascii="Arial" w:eastAsia="Arial" w:hAnsi="Arial" w:cs="Arial"/>
      <w:b/>
      <w:color w:val="000000"/>
      <w:sz w:val="2"/>
    </w:rPr>
  </w:style>
  <w:style w:type="paragraph" w:customStyle="1" w:styleId="Tab1LastColGrasNoContent">
    <w:name w:val="Tab1 LastCol Gras NoContent"/>
    <w:qFormat/>
    <w:pPr>
      <w:ind w:right="100"/>
      <w:jc w:val="right"/>
    </w:pPr>
    <w:rPr>
      <w:rFonts w:ascii="Arial" w:eastAsia="Arial" w:hAnsi="Arial" w:cs="Arial"/>
      <w:b/>
      <w:color w:val="232323"/>
      <w:sz w:val="2"/>
    </w:rPr>
  </w:style>
  <w:style w:type="paragraph" w:customStyle="1" w:styleId="TotalTabMiddleColBordureNoContent">
    <w:name w:val="TotalTab MiddleCol Bordure NoContent"/>
    <w:qFormat/>
    <w:pPr>
      <w:ind w:right="100"/>
      <w:jc w:val="right"/>
    </w:pPr>
    <w:rPr>
      <w:rFonts w:ascii="Arial" w:eastAsia="Arial" w:hAnsi="Arial" w:cs="Arial"/>
      <w:b/>
      <w:color w:val="232323"/>
      <w:sz w:val="2"/>
    </w:rPr>
  </w:style>
  <w:style w:type="paragraph" w:customStyle="1" w:styleId="EnteteTabNoBordureUpNoGrasNoContent">
    <w:name w:val="EnteteTab NoBordureUp NoGras NoContent"/>
    <w:qFormat/>
    <w:pPr>
      <w:jc w:val="right"/>
    </w:pPr>
    <w:rPr>
      <w:rFonts w:ascii="Arial" w:eastAsia="Arial" w:hAnsi="Arial" w:cs="Arial"/>
      <w:color w:val="232323"/>
      <w:sz w:val="2"/>
    </w:rPr>
  </w:style>
  <w:style w:type="paragraph" w:customStyle="1" w:styleId="Tab1FirstColNonGrasBordureUpNoContent">
    <w:name w:val="Tab1 FirstCol NonGras BordureUp NoContent"/>
    <w:qFormat/>
    <w:pPr>
      <w:ind w:left="100" w:right="100"/>
      <w:jc w:val="both"/>
    </w:pPr>
    <w:rPr>
      <w:rFonts w:ascii="Arial" w:eastAsia="Arial" w:hAnsi="Arial" w:cs="Arial"/>
      <w:color w:val="232323"/>
      <w:sz w:val="2"/>
    </w:rPr>
  </w:style>
  <w:style w:type="paragraph" w:customStyle="1" w:styleId="Tab3LastColNonGrasNoContent">
    <w:name w:val="Tab3 LastCol NonGras NoContent"/>
    <w:qFormat/>
    <w:pPr>
      <w:ind w:right="100"/>
      <w:jc w:val="right"/>
    </w:pPr>
    <w:rPr>
      <w:rFonts w:ascii="Arial" w:eastAsia="Arial" w:hAnsi="Arial" w:cs="Arial"/>
      <w:color w:val="232323"/>
      <w:sz w:val="2"/>
    </w:rPr>
  </w:style>
  <w:style w:type="paragraph" w:customStyle="1" w:styleId="Tab1FirstColNonGrasNoContent">
    <w:name w:val="Tab1 FirstCol NonGras NoContent"/>
    <w:qFormat/>
    <w:pPr>
      <w:ind w:left="100" w:right="100"/>
      <w:jc w:val="both"/>
    </w:pPr>
    <w:rPr>
      <w:rFonts w:ascii="Arial" w:eastAsia="Arial" w:hAnsi="Arial" w:cs="Arial"/>
      <w:color w:val="232323"/>
      <w:sz w:val="2"/>
    </w:rPr>
  </w:style>
  <w:style w:type="paragraph" w:customStyle="1" w:styleId="Tab3FirstColNonGrasNoContent">
    <w:name w:val="Tab3 FirstCol NonGras NoContent"/>
    <w:qFormat/>
    <w:pPr>
      <w:ind w:left="360" w:right="100"/>
      <w:jc w:val="both"/>
    </w:pPr>
    <w:rPr>
      <w:rFonts w:ascii="Arial" w:eastAsia="Arial" w:hAnsi="Arial" w:cs="Arial"/>
      <w:color w:val="232323"/>
      <w:sz w:val="2"/>
    </w:rPr>
  </w:style>
  <w:style w:type="paragraph" w:customStyle="1" w:styleId="Tab3MiddleColNonGrasNoContent">
    <w:name w:val="Tab3 MiddleCol NonGras NoContent"/>
    <w:qFormat/>
    <w:pPr>
      <w:ind w:right="100"/>
      <w:jc w:val="right"/>
    </w:pPr>
    <w:rPr>
      <w:rFonts w:ascii="Arial" w:eastAsia="Arial" w:hAnsi="Arial" w:cs="Arial"/>
      <w:color w:val="232323"/>
      <w:sz w:val="2"/>
    </w:rPr>
  </w:style>
  <w:style w:type="paragraph" w:styleId="Revision">
    <w:name w:val="Revision"/>
    <w:hidden/>
    <w:uiPriority w:val="99"/>
    <w:semiHidden/>
    <w:rsid w:val="00D61EB0"/>
    <w:rPr>
      <w:rFonts w:ascii="Gill Sans MT" w:eastAsia="Gill Sans MT" w:hAnsi="Gill Sans MT" w:cs="Gill Sans MT"/>
      <w:color w:val="232323"/>
      <w:sz w:val="2"/>
      <w:szCs w:val="24"/>
    </w:rPr>
  </w:style>
  <w:style w:type="paragraph" w:styleId="ListParagraph">
    <w:name w:val="List Paragraph"/>
    <w:basedOn w:val="Normal"/>
    <w:uiPriority w:val="1"/>
    <w:qFormat/>
    <w:rsid w:val="00D61EB0"/>
    <w:pPr>
      <w:spacing w:after="200" w:line="276" w:lineRule="auto"/>
      <w:ind w:left="720"/>
      <w:contextualSpacing/>
    </w:pPr>
    <w:rPr>
      <w:rFonts w:ascii="Calibri" w:eastAsia="Calibri" w:hAnsi="Calibri" w:cs="Times New Roman"/>
      <w:color w:val="auto"/>
      <w:sz w:val="22"/>
      <w:szCs w:val="22"/>
      <w:lang w:val="fr-FR"/>
    </w:rPr>
  </w:style>
  <w:style w:type="paragraph" w:styleId="BodyText">
    <w:name w:val="Body Text"/>
    <w:basedOn w:val="Normal"/>
    <w:link w:val="CorpsdetexteCar"/>
    <w:uiPriority w:val="1"/>
    <w:qFormat/>
    <w:rsid w:val="00D61EB0"/>
    <w:pPr>
      <w:widowControl w:val="0"/>
      <w:ind w:left="100"/>
    </w:pPr>
    <w:rPr>
      <w:rFonts w:ascii="Arial" w:eastAsia="Arial" w:hAnsi="Arial" w:cs="Times New Roman"/>
      <w:color w:val="auto"/>
      <w:sz w:val="20"/>
      <w:szCs w:val="20"/>
    </w:rPr>
  </w:style>
  <w:style w:type="character" w:customStyle="1" w:styleId="CorpsdetexteCar">
    <w:name w:val="Corps de texte Car"/>
    <w:basedOn w:val="DefaultParagraphFont"/>
    <w:link w:val="BodyText"/>
    <w:uiPriority w:val="1"/>
    <w:rsid w:val="00D61EB0"/>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image" Target="media/image3.png"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header" Target="header8.xml" /><Relationship Id="rId23" Type="http://schemas.openxmlformats.org/officeDocument/2006/relationships/footer" Target="foot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header" Target="header10.xml" /><Relationship Id="rId27" Type="http://schemas.openxmlformats.org/officeDocument/2006/relationships/footer" Target="footer10.xml" /><Relationship Id="rId28" Type="http://schemas.openxmlformats.org/officeDocument/2006/relationships/header" Target="header11.xml" /><Relationship Id="rId29" Type="http://schemas.openxmlformats.org/officeDocument/2006/relationships/footer" Target="footer11.xml" /><Relationship Id="rId3" Type="http://schemas.openxmlformats.org/officeDocument/2006/relationships/fontTable" Target="fontTable.xml" /><Relationship Id="rId30" Type="http://schemas.openxmlformats.org/officeDocument/2006/relationships/header" Target="header12.xml" /><Relationship Id="rId31" Type="http://schemas.openxmlformats.org/officeDocument/2006/relationships/footer" Target="footer12.xml" /><Relationship Id="rId32" Type="http://schemas.openxmlformats.org/officeDocument/2006/relationships/header" Target="header13.xml" /><Relationship Id="rId33" Type="http://schemas.openxmlformats.org/officeDocument/2006/relationships/footer" Target="footer13.xml" /><Relationship Id="rId34" Type="http://schemas.openxmlformats.org/officeDocument/2006/relationships/header" Target="header14.xml" /><Relationship Id="rId35" Type="http://schemas.openxmlformats.org/officeDocument/2006/relationships/footer" Target="footer14.xml" /><Relationship Id="rId36" Type="http://schemas.openxmlformats.org/officeDocument/2006/relationships/header" Target="header15.xml" /><Relationship Id="rId37" Type="http://schemas.openxmlformats.org/officeDocument/2006/relationships/footer" Target="footer15.xml" /><Relationship Id="rId38" Type="http://schemas.openxmlformats.org/officeDocument/2006/relationships/header" Target="header16.xml" /><Relationship Id="rId39" Type="http://schemas.openxmlformats.org/officeDocument/2006/relationships/footer" Target="footer16.xml" /><Relationship Id="rId4" Type="http://schemas.openxmlformats.org/officeDocument/2006/relationships/image" Target="media/image1.png" /><Relationship Id="rId40" Type="http://schemas.openxmlformats.org/officeDocument/2006/relationships/header" Target="header17.xml" /><Relationship Id="rId41" Type="http://schemas.openxmlformats.org/officeDocument/2006/relationships/footer" Target="footer17.xml" /><Relationship Id="rId42" Type="http://schemas.openxmlformats.org/officeDocument/2006/relationships/header" Target="header18.xml" /><Relationship Id="rId43" Type="http://schemas.openxmlformats.org/officeDocument/2006/relationships/footer" Target="footer18.xml" /><Relationship Id="rId44" Type="http://schemas.openxmlformats.org/officeDocument/2006/relationships/header" Target="header19.xml" /><Relationship Id="rId45" Type="http://schemas.openxmlformats.org/officeDocument/2006/relationships/footer" Target="footer19.xml" /><Relationship Id="rId46" Type="http://schemas.openxmlformats.org/officeDocument/2006/relationships/header" Target="header20.xml" /><Relationship Id="rId47" Type="http://schemas.openxmlformats.org/officeDocument/2006/relationships/footer" Target="footer20.xml" /><Relationship Id="rId48" Type="http://schemas.openxmlformats.org/officeDocument/2006/relationships/header" Target="header21.xml" /><Relationship Id="rId49" Type="http://schemas.openxmlformats.org/officeDocument/2006/relationships/footer" Target="footer21.xml" /><Relationship Id="rId5" Type="http://schemas.openxmlformats.org/officeDocument/2006/relationships/header" Target="header1.xml" /><Relationship Id="rId50" Type="http://schemas.openxmlformats.org/officeDocument/2006/relationships/header" Target="header22.xml" /><Relationship Id="rId51" Type="http://schemas.openxmlformats.org/officeDocument/2006/relationships/footer" Target="footer22.xml" /><Relationship Id="rId52" Type="http://schemas.openxmlformats.org/officeDocument/2006/relationships/header" Target="header23.xml" /><Relationship Id="rId53" Type="http://schemas.openxmlformats.org/officeDocument/2006/relationships/footer" Target="footer23.xml" /><Relationship Id="rId54" Type="http://schemas.openxmlformats.org/officeDocument/2006/relationships/header" Target="header24.xml" /><Relationship Id="rId55" Type="http://schemas.openxmlformats.org/officeDocument/2006/relationships/footer" Target="footer24.xml" /><Relationship Id="rId56" Type="http://schemas.openxmlformats.org/officeDocument/2006/relationships/header" Target="header25.xml" /><Relationship Id="rId57" Type="http://schemas.openxmlformats.org/officeDocument/2006/relationships/footer" Target="footer25.xml" /><Relationship Id="rId58" Type="http://schemas.openxmlformats.org/officeDocument/2006/relationships/header" Target="header26.xml" /><Relationship Id="rId59" Type="http://schemas.openxmlformats.org/officeDocument/2006/relationships/footer" Target="footer26.xml" /><Relationship Id="rId6" Type="http://schemas.openxmlformats.org/officeDocument/2006/relationships/footer" Target="footer1.xml" /><Relationship Id="rId60" Type="http://schemas.openxmlformats.org/officeDocument/2006/relationships/header" Target="header27.xml" /><Relationship Id="rId61" Type="http://schemas.openxmlformats.org/officeDocument/2006/relationships/footer" Target="footer27.xml" /><Relationship Id="rId62" Type="http://schemas.openxmlformats.org/officeDocument/2006/relationships/header" Target="header28.xml" /><Relationship Id="rId63" Type="http://schemas.openxmlformats.org/officeDocument/2006/relationships/footer" Target="footer28.xml" /><Relationship Id="rId64" Type="http://schemas.openxmlformats.org/officeDocument/2006/relationships/header" Target="header29.xml" /><Relationship Id="rId65" Type="http://schemas.openxmlformats.org/officeDocument/2006/relationships/footer" Target="footer29.xml" /><Relationship Id="rId66" Type="http://schemas.openxmlformats.org/officeDocument/2006/relationships/header" Target="header30.xml" /><Relationship Id="rId67" Type="http://schemas.openxmlformats.org/officeDocument/2006/relationships/footer" Target="footer30.xml" /><Relationship Id="rId68" Type="http://schemas.openxmlformats.org/officeDocument/2006/relationships/header" Target="header31.xml" /><Relationship Id="rId69" Type="http://schemas.openxmlformats.org/officeDocument/2006/relationships/footer" Target="footer31.xml" /><Relationship Id="rId7" Type="http://schemas.openxmlformats.org/officeDocument/2006/relationships/hyperlink" Target="http://www.amundi.com" TargetMode="External" /><Relationship Id="rId70" Type="http://schemas.openxmlformats.org/officeDocument/2006/relationships/header" Target="header32.xml" /><Relationship Id="rId71" Type="http://schemas.openxmlformats.org/officeDocument/2006/relationships/footer" Target="footer32.xml" /><Relationship Id="rId72" Type="http://schemas.openxmlformats.org/officeDocument/2006/relationships/header" Target="header33.xml" /><Relationship Id="rId73" Type="http://schemas.openxmlformats.org/officeDocument/2006/relationships/header" Target="header34.xml" /><Relationship Id="rId74" Type="http://schemas.openxmlformats.org/officeDocument/2006/relationships/footer" Target="footer33.xml" /><Relationship Id="rId75" Type="http://schemas.openxmlformats.org/officeDocument/2006/relationships/footer" Target="footer34.xml" /><Relationship Id="rId76" Type="http://schemas.openxmlformats.org/officeDocument/2006/relationships/header" Target="header35.xml" /><Relationship Id="rId77" Type="http://schemas.openxmlformats.org/officeDocument/2006/relationships/footer" Target="footer35.xml" /><Relationship Id="rId78" Type="http://schemas.openxmlformats.org/officeDocument/2006/relationships/theme" Target="theme/theme1.xml" /><Relationship Id="rId79" Type="http://schemas.openxmlformats.org/officeDocument/2006/relationships/numbering" Target="numbering.xml" /><Relationship Id="rId8" Type="http://schemas.openxmlformats.org/officeDocument/2006/relationships/image" Target="media/image2.png" /><Relationship Id="rId80" Type="http://schemas.openxmlformats.org/officeDocument/2006/relationships/styles" Target="styles.xml" /><Relationship Id="rId81" Type="http://schemas.microsoft.com/office/2011/relationships/people" Target="people.xml" /><Relationship Id="rId9" Type="http://schemas.openxmlformats.org/officeDocument/2006/relationships/header" Target="header2.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11985</Words>
  <Characters>73431</Characters>
  <Application>Microsoft Office Word</Application>
  <DocSecurity>0</DocSecurity>
  <Lines>611</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Akyurt, Ali</cp:lastModifiedBy>
  <cp:revision>3</cp:revision>
  <dcterms:created xsi:type="dcterms:W3CDTF">2025-09-23T06:26:00Z</dcterms:created>
  <dcterms:modified xsi:type="dcterms:W3CDTF">2025-09-25T07:44:00Z</dcterms:modified>
</cp:coreProperties>
</file>